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media/rId22.png" ContentType="image/png"/>
  <Override PartName="/word/media/rId23.png" ContentType="image/png"/>
  <Override PartName="/word/media/rId25.png" ContentType="image/png"/>
  <Override PartName="/word/media/image43.png" ContentType="image/png"/>
  <Override PartName="/word/media/image42.png" ContentType="image/png"/>
  <Override PartName="/word/media/image46.png" ContentType="image/png"/>
  <Override PartName="/word/media/image45.png" ContentType="image/png"/>
  <Override PartName="/word/media/image41.png" ContentType="image/png"/>
  <Override PartName="/word/media/image44.png" ContentType="image/png"/>
  <Override PartName="/word/media/image38.png" ContentType="image/png"/>
  <Override PartName="/word/media/image39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47.png" ContentType="image/png"/>
  <Override PartName="/word/media/image40.png" ContentType="image/png"/>
  <Override PartName="/word/media/image49.png" ContentType="image/png"/>
  <Override PartName="/word/media/image33.png" ContentType="image/png"/>
  <Override PartName="/word/media/image58.png" ContentType="image/png"/>
  <Override PartName="/word/media/image59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57.png" ContentType="image/png"/>
  <Override PartName="/word/media/image56.png" ContentType="image/png"/>
  <Override PartName="/word/media/image55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48.png" ContentType="image/png"/>
  <Override PartName="/word/media/image30.png" ContentType="image/png"/>
  <Override PartName="/word/media/image31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3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Erroneous</w:t>
      </w:r>
      <w:r>
        <w:t xml:space="preserve"> </w:t>
      </w:r>
      <w:r>
        <w:t xml:space="preserve">use</w:t>
      </w:r>
      <w:r>
        <w:t xml:space="preserve"> </w:t>
      </w:r>
      <w:r>
        <w:t xml:space="preserve">of</w:t>
      </w:r>
      <w:r>
        <w:t xml:space="preserve"> </w:t>
      </w:r>
      <w:r>
        <w:t xml:space="preserve">Venn</w:t>
      </w:r>
      <w:r>
        <w:t xml:space="preserve"> </w:t>
      </w:r>
      <w:r>
        <w:t xml:space="preserve">diagrams</w:t>
      </w:r>
      <w:r>
        <w:t xml:space="preserve"> </w:t>
      </w:r>
      <w:r>
        <w:t xml:space="preserve">leads</w:t>
      </w:r>
      <w:r>
        <w:t xml:space="preserve"> </w:t>
      </w:r>
      <w:r>
        <w:t xml:space="preserve">to</w:t>
      </w:r>
      <w:r>
        <w:t xml:space="preserve"> </w:t>
      </w:r>
      <w:r>
        <w:t xml:space="preserve">artifacts</w:t>
      </w:r>
      <w:r>
        <w:t xml:space="preserve"> </w:t>
      </w:r>
      <w:r>
        <w:t xml:space="preserve">in</w:t>
      </w:r>
      <w:r>
        <w:t xml:space="preserve"> </w:t>
      </w:r>
      <w:r>
        <w:t xml:space="preserve">transcriptomic</w:t>
      </w:r>
      <w:r>
        <w:t xml:space="preserve"> </w:t>
      </w:r>
      <w:r>
        <w:t xml:space="preserve">analyses</w:t>
      </w:r>
    </w:p>
    <w:p>
      <w:pPr>
        <w:pStyle w:val="Author"/>
      </w:pPr>
      <w:r>
        <w:t xml:space="preserve">January</w:t>
      </w:r>
      <w:r>
        <w:t xml:space="preserve"> </w:t>
      </w:r>
      <w:r>
        <w:t xml:space="preserve">Weiner</w:t>
      </w:r>
      <w:r>
        <w:rPr>
          <w:vertAlign w:val="superscript"/>
        </w:rPr>
        <w:t xml:space="preserve">1,†</w:t>
      </w:r>
      <w:r>
        <w:t xml:space="preserve">,</w:t>
      </w:r>
      <w:r>
        <w:t xml:space="preserve"> </w:t>
      </w:r>
      <w:r>
        <w:t xml:space="preserve">Benedikt</w:t>
      </w:r>
      <w:r>
        <w:t xml:space="preserve"> </w:t>
      </w:r>
      <w:r>
        <w:t xml:space="preserve">Obermayer</w:t>
      </w:r>
      <w:r>
        <w:rPr>
          <w:vertAlign w:val="superscript"/>
        </w:rPr>
        <w:t xml:space="preserve">1</w:t>
      </w:r>
      <w:r>
        <w:t xml:space="preserve"> </w:t>
      </w:r>
      <w:r>
        <w:t xml:space="preserve">and</w:t>
      </w:r>
      <w:r>
        <w:t xml:space="preserve"> </w:t>
      </w:r>
      <w:r>
        <w:t xml:space="preserve">Dieter</w:t>
      </w:r>
      <w:r>
        <w:t xml:space="preserve"> </w:t>
      </w:r>
      <w:r>
        <w:t xml:space="preserve">Beule</w:t>
      </w:r>
      <w:r>
        <w:rPr>
          <w:vertAlign w:val="superscript"/>
        </w:rPr>
        <w:t xml:space="preserve">1</w:t>
      </w:r>
    </w:p>
    <w:p>
      <w:pPr>
        <w:pStyle w:val="Date"/>
      </w:pPr>
      <w:r>
        <w:t xml:space="preserve">2021-11-19</w:t>
      </w:r>
    </w:p>
    <w:p>
      <w:pPr>
        <w:pStyle w:val="FirstParagraph"/>
      </w:pPr>
      <w:r>
        <w:rPr>
          <w:vertAlign w:val="superscript"/>
        </w:rPr>
        <w:t xml:space="preserve">1</w:t>
      </w:r>
      <w:r>
        <w:t xml:space="preserve"> </w:t>
      </w:r>
      <w:r>
        <w:t xml:space="preserve">Berlin Institute of Health at Charité – Universitätsmedizin Berlin, Core Unit Bioinformatics, Charitéplatz 1, 10117 Berlin, Germany</w:t>
      </w:r>
    </w:p>
    <w:p>
      <w:pPr>
        <w:pStyle w:val="BodyText"/>
      </w:pPr>
      <w:r>
        <w:rPr>
          <w:vertAlign w:val="superscript"/>
        </w:rPr>
        <w:t xml:space="preserve">†</w:t>
      </w:r>
      <w:r>
        <w:t xml:space="preserve"> </w:t>
      </w:r>
      <w:r>
        <w:t xml:space="preserve">To whom the correspondence should be addressed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Venn diagrams are frequently used to illustrate the results of</w:t>
      </w:r>
      <w:r>
        <w:t xml:space="preserve"> </w:t>
      </w:r>
      <w:r>
        <w:t xml:space="preserve">differential expression analysis and further</w:t>
      </w:r>
      <w:r>
        <w:t xml:space="preserve"> </w:t>
      </w:r>
      <w:r>
        <w:t xml:space="preserve">downstream functional analysis. Here we show that both, the use</w:t>
      </w:r>
      <w:r>
        <w:t xml:space="preserve"> </w:t>
      </w:r>
      <w:r>
        <w:t xml:space="preserve">of Venn diagrams to find genes which are thought to be specific for a</w:t>
      </w:r>
      <w:r>
        <w:t xml:space="preserve"> </w:t>
      </w:r>
      <w:r>
        <w:t xml:space="preserve">certain comparison, as well as gene set enrichment analysis applied to such</w:t>
      </w:r>
      <w:r>
        <w:t xml:space="preserve"> </w:t>
      </w:r>
      <w:r>
        <w:t xml:space="preserve">subsets is a fallacy. Since genes which show a significant change in one</w:t>
      </w:r>
      <w:r>
        <w:t xml:space="preserve"> </w:t>
      </w:r>
      <w:r>
        <w:t xml:space="preserve">condition but not in another are likely to be false negatives in the latter</w:t>
      </w:r>
      <w:r>
        <w:t xml:space="preserve"> </w:t>
      </w:r>
      <w:r>
        <w:t xml:space="preserve">case, these genes considered to be specific for one condition are likely</w:t>
      </w:r>
      <w:r>
        <w:t xml:space="preserve"> </w:t>
      </w:r>
      <w:r>
        <w:t xml:space="preserve">characteristic for both of the compared groups, and enriched in functions</w:t>
      </w:r>
      <w:r>
        <w:t xml:space="preserve"> </w:t>
      </w:r>
      <w:r>
        <w:t xml:space="preserve">related to the research hypothesis. Thus, the combination of incorrect</w:t>
      </w:r>
      <w:r>
        <w:t xml:space="preserve"> </w:t>
      </w:r>
      <w:r>
        <w:t xml:space="preserve">statistical reasoning and gene set enrichment analysis may result in</w:t>
      </w:r>
      <w:r>
        <w:t xml:space="preserve"> </w:t>
      </w:r>
      <w:r>
        <w:t xml:space="preserve">particularly misleading artifacts.</w:t>
      </w:r>
    </w:p>
    <w:bookmarkEnd w:id="20"/>
    <w:bookmarkStart w:id="21" w:name="Xe61edab56e3610c8f7cdbf330394de1f0e109fc"/>
    <w:p>
      <w:pPr>
        <w:pStyle w:val="Heading2"/>
      </w:pPr>
      <w:r>
        <w:t xml:space="preserve">Introduction: Venn diagrams are a showcase of erroneous interpretation of interactions</w:t>
      </w:r>
    </w:p>
    <w:p>
      <w:pPr>
        <w:pStyle w:val="FirstParagraph"/>
      </w:pPr>
      <w:r>
        <w:t xml:space="preserve">Venn diagrams (VDs) are commonly used to visualize high throughput data</w:t>
      </w:r>
      <w:r>
        <w:t xml:space="preserve"> </w:t>
      </w:r>
      <w:r>
        <w:t xml:space="preserve">such as transcriptomic profiles. Frequently, a Venn diagram serves the</w:t>
      </w:r>
      <w:r>
        <w:t xml:space="preserve"> </w:t>
      </w:r>
      <w:r>
        <w:t xml:space="preserve">purpose of comparing the results from two experiments or two comparisons.</w:t>
      </w:r>
      <w:r>
        <w:t xml:space="preserve"> </w:t>
      </w:r>
      <w:r>
        <w:t xml:space="preserve">For example, a VD may illustrate up- or down-regulated genes in two strains</w:t>
      </w:r>
      <w:r>
        <w:t xml:space="preserve"> </w:t>
      </w:r>
      <w:r>
        <w:t xml:space="preserve">of mice upon infection, showing which genes are regulated in both strains,</w:t>
      </w:r>
      <w:r>
        <w:t xml:space="preserve"> </w:t>
      </w:r>
      <w:r>
        <w:t xml:space="preserve">and which are regulated only in one of them. The VD serves</w:t>
      </w:r>
      <w:r>
        <w:t xml:space="preserve"> </w:t>
      </w:r>
      <w:r>
        <w:t xml:space="preserve">as a basis for the statement that the regulation of certain genes is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for one strain or another. We argue that not only is this</w:t>
      </w:r>
      <w:r>
        <w:t xml:space="preserve"> </w:t>
      </w:r>
      <w:r>
        <w:t xml:space="preserve">inference incorrect, but it may also lead to misleading – although</w:t>
      </w:r>
      <w:r>
        <w:t xml:space="preserve"> </w:t>
      </w:r>
      <w:r>
        <w:t xml:space="preserve">appealing – artifacts when combined with downstream analyses.</w:t>
      </w:r>
    </w:p>
    <w:p>
      <w:pPr>
        <w:pStyle w:val="BodyText"/>
      </w:pPr>
      <w:r>
        <w:t xml:space="preserve">Consider a gene for which the expression has been analysed in four groups:</w:t>
      </w:r>
      <w:r>
        <w:t xml:space="preserve"> </w:t>
      </w:r>
      <w:r>
        <w:t xml:space="preserve">two different mouse strains (wildtype, WT and knockout, KO) and two different experimental conditions</w:t>
      </w:r>
      <w:r>
        <w:t xml:space="preserve"> </w:t>
      </w:r>
      <w:r>
        <w:t xml:space="preserve">(naive versus infected). We find that the gene expression significantly</w:t>
      </w:r>
      <w:r>
        <w:t xml:space="preserve"> </w:t>
      </w:r>
      <w:r>
        <w:t xml:space="preserve">differs between infected and naive KO animals, but that there is no</w:t>
      </w:r>
      <w:r>
        <w:t xml:space="preserve"> </w:t>
      </w:r>
      <w:r>
        <w:t xml:space="preserve">significant difference in the WT strain. Such a gene may be incorrectly</w:t>
      </w:r>
      <w:r>
        <w:t xml:space="preserve"> </w:t>
      </w:r>
      <w:r>
        <w:t xml:space="preserve">considered as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to KO, and will be accordingly entered in a Venn</w:t>
      </w:r>
      <w:r>
        <w:t xml:space="preserve"> </w:t>
      </w:r>
      <w:r>
        <w:t xml:space="preserve">diagram.</w:t>
      </w:r>
    </w:p>
    <w:p>
      <w:pPr>
        <w:pStyle w:val="BodyText"/>
      </w:pPr>
      <w:r>
        <w:t xml:space="preserve">However, this is a common fallacy</w:t>
      </w:r>
      <w:r>
        <w:t xml:space="preserve"> </w:t>
      </w:r>
      <w:r>
        <w:t xml:space="preserve">(</w:t>
      </w:r>
      <w:hyperlink w:anchor="ref-nieuwenhuis2011erroneous">
        <w:r>
          <w:rPr>
            <w:rStyle w:val="Hyperlink"/>
          </w:rPr>
          <w:t xml:space="preserve">Nieuwenhuis, Forstmann, and Wagenmakers 2011</w:t>
        </w:r>
      </w:hyperlink>
      <w:r>
        <w:t xml:space="preserve">)</w:t>
      </w:r>
      <w:r>
        <w:t xml:space="preserve">, since lack</w:t>
      </w:r>
      <w:r>
        <w:t xml:space="preserve"> </w:t>
      </w:r>
      <w:r>
        <w:t xml:space="preserve">of statistical significance is not the same as testing for lack of</w:t>
      </w:r>
      <w:r>
        <w:t xml:space="preserve"> </w:t>
      </w:r>
      <w:r>
        <w:t xml:space="preserve">difference. In other words, the fact that we failed to detect a significant</w:t>
      </w:r>
      <w:r>
        <w:t xml:space="preserve"> </w:t>
      </w:r>
      <w:r>
        <w:t xml:space="preserve">difference in the WT does not mean that the difference is absent and</w:t>
      </w:r>
      <w:r>
        <w:t xml:space="preserve"> </w:t>
      </w:r>
      <w:r>
        <w:t xml:space="preserve">itself significantly different from the difference in the KO. This</w:t>
      </w:r>
      <w:r>
        <w:t xml:space="preserve"> </w:t>
      </w:r>
      <w:r>
        <w:t xml:space="preserve">“</w:t>
      </w:r>
      <w:r>
        <w:t xml:space="preserve">difference of</w:t>
      </w:r>
      <w:r>
        <w:t xml:space="preserve"> </w:t>
      </w:r>
      <w:r>
        <w:t xml:space="preserve">differences</w:t>
      </w:r>
      <w:r>
        <w:t xml:space="preserve">”</w:t>
      </w:r>
      <w:r>
        <w:t xml:space="preserve"> </w:t>
      </w:r>
      <w:r>
        <w:t xml:space="preserve">is known is statistics as interaction</w:t>
      </w:r>
      <w:r>
        <w:t xml:space="preserve"> </w:t>
      </w:r>
      <w:r>
        <w:t xml:space="preserve">(</w:t>
      </w:r>
      <w:hyperlink w:anchor="ref-blalock1965theory">
        <w:r>
          <w:rPr>
            <w:rStyle w:val="Hyperlink"/>
          </w:rPr>
          <w:t xml:space="preserve">Blalock Jr 1965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Here, it is the interaction between strain and treatment. In fact, the</w:t>
      </w:r>
      <w:r>
        <w:t xml:space="preserve"> </w:t>
      </w:r>
      <w:r>
        <w:t xml:space="preserve">obtained p-values might be just over the assumed p-value threshold in one, but just</w:t>
      </w:r>
      <w:r>
        <w:t xml:space="preserve"> </w:t>
      </w:r>
      <w:r>
        <w:t xml:space="preserve">under it in the other strain (e.g. 0.009 vs 0.011), with the difference in</w:t>
      </w:r>
      <w:r>
        <w:t xml:space="preserve"> </w:t>
      </w:r>
      <w:r>
        <w:t xml:space="preserve">both strains being essentially the same. The correct analysis is to test</w:t>
      </w:r>
      <w:r>
        <w:t xml:space="preserve"> </w:t>
      </w:r>
      <w:r>
        <w:t xml:space="preserve">the significance of interaction using an ANOVA model. Notably, in 2011</w:t>
      </w:r>
      <w:r>
        <w:t xml:space="preserve"> </w:t>
      </w:r>
      <w:r>
        <w:t xml:space="preserve">Nieuwenhuis et al. found that in over 150 papers in top neuroscience</w:t>
      </w:r>
      <w:r>
        <w:t xml:space="preserve"> </w:t>
      </w:r>
      <w:r>
        <w:t xml:space="preserve">journals where the authors could make this particular statistical error,</w:t>
      </w:r>
      <w:r>
        <w:t xml:space="preserve"> </w:t>
      </w:r>
      <w:r>
        <w:t xml:space="preserve">half of them did.</w:t>
      </w:r>
    </w:p>
    <w:p>
      <w:pPr>
        <w:pStyle w:val="BodyText"/>
      </w:pPr>
      <w:r>
        <w:t xml:space="preserve">Using VDs to show genes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for a condition amounts to</w:t>
      </w:r>
      <w:r>
        <w:t xml:space="preserve"> </w:t>
      </w:r>
      <w:r>
        <w:t xml:space="preserve">counting the times a comparison for a gene was statistically significant in</w:t>
      </w:r>
      <w:r>
        <w:t xml:space="preserve"> </w:t>
      </w:r>
      <w:r>
        <w:t xml:space="preserve">one condition, but not significant in another.</w:t>
      </w:r>
      <w:r>
        <w:t xml:space="preserve"> </w:t>
      </w:r>
      <w:r>
        <w:t xml:space="preserve">More disturbingly, VDs are a visual illustration of a procedure</w:t>
      </w:r>
      <w:r>
        <w:t xml:space="preserve"> </w:t>
      </w:r>
      <w:r>
        <w:t xml:space="preserve">that exacerbates this problem by applying a downstream analysis to</w:t>
      </w:r>
      <w:r>
        <w:t xml:space="preserve"> </w:t>
      </w:r>
      <w:r>
        <w:t xml:space="preserve">supposedly specific sets of genes. Several cells in a Venn diagram contain</w:t>
      </w:r>
      <w:r>
        <w:t xml:space="preserve"> </w:t>
      </w:r>
      <w:r>
        <w:t xml:space="preserve">numbers corresponding to features (such as genes), for which there was a significant test result in</w:t>
      </w:r>
      <w:r>
        <w:t xml:space="preserve"> </w:t>
      </w:r>
      <w:r>
        <w:t xml:space="preserve">one, but not in another comparison. The sets of genes in a Venn diagram cell may</w:t>
      </w:r>
      <w:r>
        <w:t xml:space="preserve"> </w:t>
      </w:r>
      <w:r>
        <w:t xml:space="preserve">then be subsequently analysed to test whether they share a particular</w:t>
      </w:r>
      <w:r>
        <w:t xml:space="preserve"> </w:t>
      </w:r>
      <w:r>
        <w:t xml:space="preserve">characteristics. For example, gene set enrichment analysis may be used to</w:t>
      </w:r>
      <w:r>
        <w:t xml:space="preserve"> </w:t>
      </w:r>
      <w:r>
        <w:t xml:space="preserve">interpret the biological function of genes that are considered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to one</w:t>
      </w:r>
      <w:r>
        <w:t xml:space="preserve"> </w:t>
      </w:r>
      <w:r>
        <w:t xml:space="preserve">condition. It turns out that due to the</w:t>
      </w:r>
      <w:r>
        <w:t xml:space="preserve"> </w:t>
      </w:r>
      <w:r>
        <w:t xml:space="preserve">fallacious nature of this procedure, it is likely to produce results that</w:t>
      </w:r>
      <w:r>
        <w:t xml:space="preserve"> </w:t>
      </w:r>
      <w:r>
        <w:t xml:space="preserve">appear to make sense in the given biological context.</w:t>
      </w:r>
    </w:p>
    <w:p>
      <w:pPr>
        <w:pStyle w:val="BodyText"/>
      </w:pPr>
      <w:r>
        <w:t xml:space="preserve">In this paper, we illustrate this rather simple statistical statement with</w:t>
      </w:r>
      <w:r>
        <w:t xml:space="preserve"> </w:t>
      </w:r>
      <w:r>
        <w:t xml:space="preserve">a real world data set, demonstrating how choosing this sort of approach</w:t>
      </w:r>
      <w:r>
        <w:t xml:space="preserve"> </w:t>
      </w:r>
      <w:r>
        <w:t xml:space="preserve">results in apparently sound gene set enrichment results which are, in fact,</w:t>
      </w:r>
      <w:r>
        <w:t xml:space="preserve"> </w:t>
      </w:r>
      <w:r>
        <w:t xml:space="preserve">artifacts. Next, we dissect the underlying mechanism of how these artifacts</w:t>
      </w:r>
      <w:r>
        <w:t xml:space="preserve"> </w:t>
      </w:r>
      <w:r>
        <w:t xml:space="preserve">are generated. Finally, we discuss alternative approaches.</w:t>
      </w:r>
    </w:p>
    <w:bookmarkEnd w:id="21"/>
    <w:bookmarkStart w:id="27" w:name="results"/>
    <w:p>
      <w:pPr>
        <w:pStyle w:val="Heading2"/>
      </w:pPr>
      <w:r>
        <w:t xml:space="preserve">Results</w:t>
      </w:r>
    </w:p>
    <w:bookmarkStart w:id="24" w:name="Xd3bab99a9ac030696438f979bd4c02f6b29b6ab"/>
    <w:p>
      <w:pPr>
        <w:pStyle w:val="Heading3"/>
      </w:pPr>
      <w:r>
        <w:t xml:space="preserve">Transcriptomic changes due to Sars-Cov-2 infection</w:t>
      </w:r>
    </w:p>
    <w:p>
      <w:pPr>
        <w:pStyle w:val="FirstParagraph"/>
      </w:pPr>
      <w:r>
        <w:t xml:space="preserve">Consider two group of patients, G1 and G2. Each group contains</w:t>
      </w:r>
      <w:r>
        <w:t xml:space="preserve"> </w:t>
      </w:r>
      <w:r>
        <w:t xml:space="preserve">40</w:t>
      </w:r>
      <w:r>
        <w:t xml:space="preserve"> </w:t>
      </w:r>
      <w:r>
        <w:t xml:space="preserve">individuals. In both groups, there is an equal number of healthy</w:t>
      </w:r>
      <w:r>
        <w:t xml:space="preserve"> </w:t>
      </w:r>
      <w:r>
        <w:t xml:space="preserve">individuals (labeled</w:t>
      </w:r>
      <w:r>
        <w:t xml:space="preserve"> </w:t>
      </w:r>
      <w:r>
        <w:t xml:space="preserve">“</w:t>
      </w:r>
      <w:r>
        <w:t xml:space="preserve">Ctrl</w:t>
      </w:r>
      <w:r>
        <w:t xml:space="preserve">”</w:t>
      </w:r>
      <w:r>
        <w:t xml:space="preserve"> </w:t>
      </w:r>
      <w:r>
        <w:t xml:space="preserve">on figures below)</w:t>
      </w:r>
      <w:r>
        <w:t xml:space="preserve"> </w:t>
      </w:r>
      <w:r>
        <w:t xml:space="preserve">or patients infected with Sars-Cov-2 (labeled</w:t>
      </w:r>
      <w:r>
        <w:t xml:space="preserve"> </w:t>
      </w:r>
      <w:r>
        <w:t xml:space="preserve">“</w:t>
      </w:r>
      <w:r>
        <w:t xml:space="preserve">SC2</w:t>
      </w:r>
      <w:r>
        <w:t xml:space="preserve">”</w:t>
      </w:r>
      <w:r>
        <w:t xml:space="preserve">). Our aim is to understand</w:t>
      </w:r>
      <w:r>
        <w:t xml:space="preserve"> </w:t>
      </w:r>
      <w:r>
        <w:t xml:space="preserve">the differences between G1 and G2 in the response to infection. For</w:t>
      </w:r>
      <w:r>
        <w:t xml:space="preserve"> </w:t>
      </w:r>
      <w:r>
        <w:t xml:space="preserve">example, we ask which genes or pathways are specifically upregulated by SC2</w:t>
      </w:r>
      <w:r>
        <w:t xml:space="preserve"> </w:t>
      </w:r>
      <w:r>
        <w:t xml:space="preserve">infection in G1 as compared to G2, and vice versa. In the following, we</w:t>
      </w:r>
      <w:r>
        <w:t xml:space="preserve"> </w:t>
      </w:r>
      <w:r>
        <w:t xml:space="preserve">used the data set GSE156063</w:t>
      </w:r>
      <w:r>
        <w:t xml:space="preserve"> </w:t>
      </w:r>
      <w:r>
        <w:t xml:space="preserve">(</w:t>
      </w:r>
      <w:hyperlink w:anchor="ref-mick2020upper">
        <w:r>
          <w:rPr>
            <w:rStyle w:val="Hyperlink"/>
          </w:rPr>
          <w:t xml:space="preserve">Mick et al. 2020</w:t>
        </w:r>
      </w:hyperlink>
      <w:r>
        <w:t xml:space="preserve">)</w:t>
      </w:r>
      <w:r>
        <w:t xml:space="preserve"> </w:t>
      </w:r>
      <w:r>
        <w:t xml:space="preserve">in two approaches (an</w:t>
      </w:r>
      <w:r>
        <w:t xml:space="preserve"> </w:t>
      </w:r>
      <w:r>
        <w:t xml:space="preserve">incorrect and the correct one) which arrive at opposite conclusions.</w:t>
      </w:r>
    </w:p>
    <w:p>
      <w:pPr>
        <w:pStyle w:val="BodyText"/>
      </w:pPr>
      <w:r>
        <w:t xml:space="preserve">First, we have performed differential gene expression analysis for each of</w:t>
      </w:r>
      <w:r>
        <w:t xml:space="preserve"> </w:t>
      </w:r>
      <w:r>
        <w:t xml:space="preserve">the groups G1 and G2 separately using standard bioinformatic tools. For each comparison, we defined</w:t>
      </w:r>
      <w:r>
        <w:t xml:space="preserve"> </w:t>
      </w:r>
      <w:r>
        <w:t xml:space="preserve">genes with significantly different gene expression</w:t>
      </w:r>
      <w:r>
        <w:t xml:space="preserve"> </w:t>
      </w:r>
      <w:r>
        <w:t xml:space="preserve">(differentially expressed genes, DEGs)</w:t>
      </w:r>
      <w:r>
        <w:t xml:space="preserve"> </w:t>
      </w:r>
      <w:r>
        <w:t xml:space="preserve">by using an FDR threshold of</w:t>
      </w:r>
      <w:r>
        <w:t xml:space="preserve"> </w:t>
      </w:r>
      <w:r>
        <w:t xml:space="preserve">0.05</w:t>
      </w:r>
      <w:r>
        <w:t xml:space="preserve"> </w:t>
      </w:r>
      <w:r>
        <w:t xml:space="preserve">and absolute log</w:t>
      </w:r>
      <w:r>
        <w:rPr>
          <w:vertAlign w:val="subscript"/>
        </w:rPr>
        <w:t xml:space="preserve">2</w:t>
      </w:r>
      <w:r>
        <w:t xml:space="preserve"> </w:t>
      </w:r>
      <w:r>
        <w:t xml:space="preserve">fold change (LFC) threshold of</w:t>
      </w:r>
      <w:r>
        <w:t xml:space="preserve"> </w:t>
      </w:r>
      <w:r>
        <w:t xml:space="preserve">1. There were</w:t>
      </w:r>
      <w:r>
        <w:t xml:space="preserve"> </w:t>
      </w:r>
      <w:r>
        <w:t xml:space="preserve">563</w:t>
      </w:r>
      <w:r>
        <w:t xml:space="preserve"> </w:t>
      </w:r>
      <w:r>
        <w:t xml:space="preserve">DE genes in the G1 group, and</w:t>
      </w:r>
      <w:r>
        <w:t xml:space="preserve"> </w:t>
      </w:r>
      <w:r>
        <w:t xml:space="preserve">410</w:t>
      </w:r>
      <w:r>
        <w:t xml:space="preserve"> </w:t>
      </w:r>
      <w:r>
        <w:t xml:space="preserve">in the G2 group. In total,</w:t>
      </w:r>
      <w:r>
        <w:t xml:space="preserve"> </w:t>
      </w:r>
      <w:r>
        <w:t xml:space="preserve">132</w:t>
      </w:r>
      <w:r>
        <w:t xml:space="preserve"> </w:t>
      </w:r>
      <w:r>
        <w:t xml:space="preserve">DEGs were common for G1 and G2,</w:t>
      </w:r>
      <w:r>
        <w:t xml:space="preserve"> </w:t>
      </w:r>
      <w:r>
        <w:t xml:space="preserve">431</w:t>
      </w:r>
      <w:r>
        <w:t xml:space="preserve"> </w:t>
      </w:r>
      <w:r>
        <w:t xml:space="preserve">DEGs were significant in G1 only (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for G1), and</w:t>
      </w:r>
      <w:r>
        <w:t xml:space="preserve"> </w:t>
      </w:r>
      <w:r>
        <w:t xml:space="preserve">278</w:t>
      </w:r>
      <w:r>
        <w:t xml:space="preserve"> </w:t>
      </w:r>
      <w:r>
        <w:t xml:space="preserve">were significant in G2 only (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for G2; see Fig. 1, panel</w:t>
      </w:r>
      <w:r>
        <w:t xml:space="preserve"> </w:t>
      </w:r>
      <w:r>
        <w:rPr>
          <w:iCs/>
          <w:i/>
        </w:rPr>
        <w:t xml:space="preserve">A</w:t>
      </w:r>
      <w:r>
        <w:t xml:space="preserve">).</w:t>
      </w:r>
      <w:r>
        <w:t xml:space="preserve"> </w:t>
      </w:r>
      <w:r>
        <w:t xml:space="preserve">A naive interpretation of these results implies that there is a substantial</w:t>
      </w:r>
      <w:r>
        <w:t xml:space="preserve"> </w:t>
      </w:r>
      <w:r>
        <w:t xml:space="preserve">difference between these two groups of individuals, as evidenced by a small</w:t>
      </w:r>
      <w:r>
        <w:t xml:space="preserve"> </w:t>
      </w:r>
      <w:r>
        <w:t xml:space="preserve">overlap in commonly regulated genes, while the majority of DEGs is</w:t>
      </w:r>
      <w:r>
        <w:t xml:space="preserve"> </w:t>
      </w:r>
      <w:r>
        <w:t xml:space="preserve">significant in one comparison only.</w:t>
      </w:r>
    </w:p>
    <w:p>
      <w:pPr>
        <w:pStyle w:val="BodyText"/>
      </w:pPr>
      <w:r>
        <w:t xml:space="preserve">To understand which</w:t>
      </w:r>
      <w:r>
        <w:t xml:space="preserve"> </w:t>
      </w:r>
      <w:r>
        <w:t xml:space="preserve">pathways are upregulated in each of the two groups, we used a standard generation I</w:t>
      </w:r>
      <w:r>
        <w:t xml:space="preserve"> </w:t>
      </w:r>
      <w:r>
        <w:t xml:space="preserve">gene set enrichment analysis (GSEA) – a hypergeometric test – on the DEGs in each</w:t>
      </w:r>
      <w:r>
        <w:t xml:space="preserve"> </w:t>
      </w:r>
      <w:r>
        <w:t xml:space="preserve">group. Gene sets for GSEA were taken from the Gene Ontology (GO) database.</w:t>
      </w:r>
      <w:r>
        <w:t xml:space="preserve"> </w:t>
      </w:r>
      <w:r>
        <w:t xml:space="preserve">Gene sets with more than 50 or</w:t>
      </w:r>
      <w:r>
        <w:t xml:space="preserve"> </w:t>
      </w:r>
      <w:r>
        <w:t xml:space="preserve">fewer than 10 genes were removed.</w:t>
      </w:r>
      <w:r>
        <w:t xml:space="preserve"> </w:t>
      </w:r>
      <w:r>
        <w:t xml:space="preserve">For each group, we have</w:t>
      </w:r>
      <w:r>
        <w:t xml:space="preserve"> </w:t>
      </w:r>
      <w:r>
        <w:t xml:space="preserve">selected only genes which are DEGs in that group, but not the other,</w:t>
      </w:r>
      <w:r>
        <w:t xml:space="preserve"> </w:t>
      </w:r>
      <w:r>
        <w:t xml:space="preserve">mimicking a naive approach for finding</w:t>
      </w:r>
      <w:r>
        <w:t xml:space="preserve"> </w:t>
      </w:r>
      <w:r>
        <w:t xml:space="preserve">“</w:t>
      </w:r>
      <w:r>
        <w:t xml:space="preserve">specifically</w:t>
      </w:r>
      <w:r>
        <w:t xml:space="preserve">”</w:t>
      </w:r>
      <w:r>
        <w:t xml:space="preserve"> </w:t>
      </w:r>
      <w:r>
        <w:t xml:space="preserve">regulated pathways.</w:t>
      </w:r>
      <w:r>
        <w:t xml:space="preserve"> </w:t>
      </w:r>
      <w:r>
        <w:t xml:space="preserve">Here, a similar picture</w:t>
      </w:r>
      <w:r>
        <w:t xml:space="preserve"> </w:t>
      </w:r>
      <w:r>
        <w:t xml:space="preserve">emerged. Just</w:t>
      </w:r>
      <w:r>
        <w:t xml:space="preserve"> </w:t>
      </w:r>
      <w:r>
        <w:t xml:space="preserve">16 gene sets were significantly enriched in G1, and</w:t>
      </w:r>
      <w:r>
        <w:t xml:space="preserve"> </w:t>
      </w:r>
      <w:r>
        <w:t xml:space="preserve">18 gene sets were significantly enriched in G2. Again,</w:t>
      </w:r>
      <w:r>
        <w:t xml:space="preserve"> </w:t>
      </w:r>
      <w:r>
        <w:t xml:space="preserve">both the Venn diagram (Fig. 1, B) and the results of</w:t>
      </w:r>
      <w:r>
        <w:t xml:space="preserve"> </w:t>
      </w:r>
      <w:r>
        <w:t xml:space="preserve">enrichments (Fig. 1, C and D) suggest that there is a</w:t>
      </w:r>
      <w:r>
        <w:t xml:space="preserve"> </w:t>
      </w:r>
      <w:r>
        <w:t xml:space="preserve">fundamental difference between the groups, and that the groups have little</w:t>
      </w:r>
      <w:r>
        <w:t xml:space="preserve"> </w:t>
      </w:r>
      <w:r>
        <w:t xml:space="preserve">in common in their response to the virus.</w:t>
      </w:r>
    </w:p>
    <w:p>
      <w:pPr>
        <w:pStyle w:val="BodyText"/>
      </w:pPr>
      <w:r>
        <w:t xml:space="preserve">Importantly, the different GO terms enriched in the two groups were related</w:t>
      </w:r>
      <w:r>
        <w:t xml:space="preserve"> </w:t>
      </w:r>
      <w:r>
        <w:t xml:space="preserve">to infectious diseases, and may tempt to speculate about the underlying</w:t>
      </w:r>
      <w:r>
        <w:t xml:space="preserve"> </w:t>
      </w:r>
      <w:r>
        <w:t xml:space="preserve">biological differences between these two groups (e.g. significance of</w:t>
      </w:r>
      <w:r>
        <w:t xml:space="preserve"> </w:t>
      </w:r>
      <w:r>
        <w:t xml:space="preserve">Toll like receptor 4 pathway in G1, but not G2; and, vice versa, significance of</w:t>
      </w:r>
      <w:r>
        <w:t xml:space="preserve"> </w:t>
      </w:r>
      <w:r>
        <w:t xml:space="preserve">response to interleukin 7 in G2, but not in G1).</w:t>
      </w:r>
    </w:p>
    <w:p>
      <w:pPr>
        <w:pStyle w:val="BodyText"/>
      </w:pPr>
      <w:r>
        <w:rPr>
          <w:bCs/>
          <w:b/>
        </w:rPr>
        <w:t xml:space="preserve">Fig. 1. Results of differential gene expression analysis</w:t>
      </w:r>
      <w:r>
        <w:rPr>
          <w:bCs/>
          <w:b/>
        </w:rPr>
        <w:t xml:space="preserve"> </w:t>
      </w:r>
      <w:r>
        <w:rPr>
          <w:bCs/>
          <w:b/>
        </w:rPr>
        <w:t xml:space="preserve">and gene set enrichment analysis using an incorrect Venn diagram driven approach.</w:t>
      </w:r>
      <w:r>
        <w:t xml:space="preserve"> </w:t>
      </w:r>
      <w:r>
        <w:rPr>
          <w:bCs/>
          <w:b/>
        </w:rPr>
        <w:t xml:space="preserve">A</w:t>
      </w:r>
      <w:r>
        <w:t xml:space="preserve">, Venn diagram showing numbers of differentially expressed genes (DEG)</w:t>
      </w:r>
      <w:r>
        <w:t xml:space="preserve"> </w:t>
      </w:r>
      <w:r>
        <w:t xml:space="preserve">in each of the two groups, G1 and G2;</w:t>
      </w:r>
      <w:r>
        <w:t xml:space="preserve"> </w:t>
      </w:r>
      <w:r>
        <w:rPr>
          <w:bCs/>
          <w:b/>
        </w:rPr>
        <w:t xml:space="preserve">B</w:t>
      </w:r>
      <w:r>
        <w:t xml:space="preserve">, Venn diagram showing numbers</w:t>
      </w:r>
      <w:r>
        <w:t xml:space="preserve"> </w:t>
      </w:r>
      <w:r>
        <w:t xml:space="preserve">of significantly enriched GO terms in each of the two groups;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results</w:t>
      </w:r>
      <w:r>
        <w:t xml:space="preserve"> </w:t>
      </w:r>
      <w:r>
        <w:t xml:space="preserve">of gene set enrichment analysis for genes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to group G1;</w:t>
      </w:r>
      <w:r>
        <w:t xml:space="preserve"> </w:t>
      </w:r>
      <w:r>
        <w:rPr>
          <w:bCs/>
          <w:b/>
        </w:rPr>
        <w:t xml:space="preserve">D</w:t>
      </w:r>
      <w:r>
        <w:t xml:space="preserve">, results of gene set</w:t>
      </w:r>
      <w:r>
        <w:t xml:space="preserve"> </w:t>
      </w:r>
      <w:r>
        <w:t xml:space="preserve">enrichment analysis for genes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to group G2 (only top 10 terms are shown).</w:t>
      </w:r>
    </w:p>
    <w:p>
      <w:pPr>
        <w:pStyle w:val="BodyText"/>
      </w:pPr>
      <w:r>
        <w:drawing>
          <wp:inline>
            <wp:extent cx="5943600" cy="21793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nuscript_files/figure-docx/fig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groups G1 and G2 were randomly sampled from the same data set.</w:t>
      </w:r>
      <w:r>
        <w:t xml:space="preserve"> </w:t>
      </w:r>
      <w:r>
        <w:t xml:space="preserve">In fact, repeated re-sampling always results in some genes being found to</w:t>
      </w:r>
      <w:r>
        <w:t xml:space="preserve"> </w:t>
      </w:r>
      <w:r>
        <w:t xml:space="preserve">be significantly different in one group, but not the other, despite the</w:t>
      </w:r>
      <w:r>
        <w:t xml:space="preserve"> </w:t>
      </w:r>
      <w:r>
        <w:t xml:space="preserve">fact that one does not expect any major differences between sets of</w:t>
      </w:r>
      <w:r>
        <w:t xml:space="preserve"> </w:t>
      </w:r>
      <w:r>
        <w:t xml:space="preserve">individuals randomly drawn from one population. Thus, the conclusions drawn</w:t>
      </w:r>
      <w:r>
        <w:t xml:space="preserve"> </w:t>
      </w:r>
      <w:r>
        <w:t xml:space="preserve">from a Venn diagram-driven gene set enrichment analysis are artefactual. Closer</w:t>
      </w:r>
      <w:r>
        <w:t xml:space="preserve"> </w:t>
      </w:r>
      <w:r>
        <w:t xml:space="preserve">inspection of genes which belong to DEG in one group, but not the other</w:t>
      </w:r>
      <w:r>
        <w:t xml:space="preserve"> </w:t>
      </w:r>
      <w:r>
        <w:t xml:space="preserve">reveals the underlying statistical fallacy (Fig. 2,</w:t>
      </w:r>
      <w:r>
        <w:t xml:space="preserve"> </w:t>
      </w:r>
      <w:r>
        <w:rPr>
          <w:iCs/>
          <w:i/>
        </w:rPr>
        <w:t xml:space="preserve">A</w:t>
      </w:r>
      <w:r>
        <w:t xml:space="preserve"> </w:t>
      </w:r>
      <w:r>
        <w:t xml:space="preserve">–</w:t>
      </w:r>
      <w:r>
        <w:t xml:space="preserve"> </w:t>
      </w:r>
      <w:r>
        <w:rPr>
          <w:iCs/>
          <w:i/>
        </w:rPr>
        <w:t xml:space="preserve">D</w:t>
      </w:r>
      <w:r>
        <w:t xml:space="preserve">), that is, that difference</w:t>
      </w:r>
      <w:r>
        <w:t xml:space="preserve"> </w:t>
      </w:r>
      <w:r>
        <w:t xml:space="preserve">between significant and non-significant is, in itself, not statistically</w:t>
      </w:r>
      <w:r>
        <w:t xml:space="preserve"> </w:t>
      </w:r>
      <w:r>
        <w:t xml:space="preserve">significant</w:t>
      </w:r>
      <w:r>
        <w:t xml:space="preserve"> </w:t>
      </w:r>
      <w:r>
        <w:t xml:space="preserve">(</w:t>
      </w:r>
      <w:hyperlink w:anchor="ref-gelman2006difference">
        <w:r>
          <w:rPr>
            <w:rStyle w:val="Hyperlink"/>
          </w:rPr>
          <w:t xml:space="preserve">Gelman and Stern 2006</w:t>
        </w:r>
      </w:hyperlink>
      <w:r>
        <w:t xml:space="preserve">)</w:t>
      </w:r>
      <w:r>
        <w:t xml:space="preserve">. This does not necessarily mean that</w:t>
      </w:r>
      <w:r>
        <w:t xml:space="preserve"> </w:t>
      </w:r>
      <w:r>
        <w:t xml:space="preserve">there are no differences at all between these two groups, but that lack of</w:t>
      </w:r>
      <w:r>
        <w:t xml:space="preserve"> </w:t>
      </w:r>
      <w:r>
        <w:t xml:space="preserve">significance in one group and significance in the other group does not</w:t>
      </w:r>
      <w:r>
        <w:t xml:space="preserve"> </w:t>
      </w:r>
      <w:r>
        <w:t xml:space="preserve">correctly identify differences between groups.</w:t>
      </w:r>
    </w:p>
    <w:p>
      <w:pPr>
        <w:pStyle w:val="BodyText"/>
      </w:pPr>
      <w:r>
        <w:t xml:space="preserve">To find genes which are differentially regulated in the two groups, the</w:t>
      </w:r>
      <w:r>
        <w:t xml:space="preserve"> </w:t>
      </w:r>
      <w:r>
        <w:t xml:space="preserve">correct statistical approach is to calculate interaction between groups</w:t>
      </w:r>
      <w:r>
        <w:t xml:space="preserve"> </w:t>
      </w:r>
      <w:r>
        <w:t xml:space="preserve">(G1, G2) and disease status (no disease vs. COVID). While it may be argued</w:t>
      </w:r>
      <w:r>
        <w:t xml:space="preserve"> </w:t>
      </w:r>
      <w:r>
        <w:t xml:space="preserve">that a test for interaction has lower power than a test for a simple</w:t>
      </w:r>
      <w:r>
        <w:t xml:space="preserve"> </w:t>
      </w:r>
      <w:r>
        <w:t xml:space="preserve">contrast, no</w:t>
      </w:r>
      <w:r>
        <w:t xml:space="preserve"> </w:t>
      </w:r>
      <w:r>
        <w:t xml:space="preserve">genes show a significant interaction even at FDR &lt; 0.1. In fact, this is not</w:t>
      </w:r>
      <w:r>
        <w:t xml:space="preserve"> </w:t>
      </w:r>
      <w:r>
        <w:t xml:space="preserve">surprising. The log</w:t>
      </w:r>
      <w:r>
        <w:rPr>
          <w:vertAlign w:val="subscript"/>
        </w:rPr>
        <w:t xml:space="preserve">2</w:t>
      </w:r>
      <w:r>
        <w:t xml:space="preserve"> </w:t>
      </w:r>
      <w:r>
        <w:t xml:space="preserve">fold changes for comparisons withing G1 and G2 are</w:t>
      </w:r>
      <w:r>
        <w:t xml:space="preserve"> </w:t>
      </w:r>
      <w:r>
        <w:t xml:space="preserve">strongly correlated (Fig. 2,</w:t>
      </w:r>
      <w:r>
        <w:t xml:space="preserve"> </w:t>
      </w:r>
      <w:r>
        <w:rPr>
          <w:iCs/>
          <w:i/>
        </w:rPr>
        <w:t xml:space="preserve">E</w:t>
      </w:r>
      <w:r>
        <w:t xml:space="preserve">). For all significant genes, the Pearson correlation</w:t>
      </w:r>
      <w:r>
        <w:t xml:space="preserve"> </w:t>
      </w:r>
      <w:r>
        <w:t xml:space="preserve">coefficient is</w:t>
      </w:r>
      <w:r>
        <w:t xml:space="preserve"> </w:t>
      </w:r>
      <w:r>
        <w:t xml:space="preserve">0.72,</w:t>
      </w:r>
      <w:r>
        <w:t xml:space="preserve"> </w:t>
      </w:r>
      <w:r>
        <w:t xml:space="preserve">while for genes</w:t>
      </w:r>
      <w:r>
        <w:t xml:space="preserve"> </w:t>
      </w:r>
      <w:r>
        <w:t xml:space="preserve">exclusively significant in G1 or G2 (genes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to G1 or G2), it is</w:t>
      </w:r>
      <w:r>
        <w:t xml:space="preserve"> </w:t>
      </w:r>
      <w:r>
        <w:t xml:space="preserve">0.7</w:t>
      </w:r>
      <w:r>
        <w:t xml:space="preserve"> </w:t>
      </w:r>
      <w:r>
        <w:t xml:space="preserve">and</w:t>
      </w:r>
      <w:r>
        <w:t xml:space="preserve"> </w:t>
      </w:r>
      <w:r>
        <w:t xml:space="preserve">0.73,</w:t>
      </w:r>
      <w:r>
        <w:t xml:space="preserve"> </w:t>
      </w:r>
      <w:r>
        <w:t xml:space="preserve">respectively. Thus, genes which are significant in one, but not in the</w:t>
      </w:r>
      <w:r>
        <w:t xml:space="preserve"> </w:t>
      </w:r>
      <w:r>
        <w:t xml:space="preserve">other comparison often have have similar log</w:t>
      </w:r>
      <w:r>
        <w:rPr>
          <w:vertAlign w:val="subscript"/>
        </w:rPr>
        <w:t xml:space="preserve">2</w:t>
      </w:r>
      <w:r>
        <w:t xml:space="preserve"> </w:t>
      </w:r>
      <w:r>
        <w:t xml:space="preserve">fold changes (e.g. Fig.</w:t>
      </w:r>
      <w:r>
        <w:t xml:space="preserve"> </w:t>
      </w:r>
      <w:r>
        <w:t xml:space="preserve">2,</w:t>
      </w:r>
      <w:r>
        <w:t xml:space="preserve"> </w:t>
      </w:r>
      <w:r>
        <w:rPr>
          <w:iCs/>
          <w:i/>
        </w:rPr>
        <w:t xml:space="preserve">A</w:t>
      </w:r>
      <w:r>
        <w:t xml:space="preserve">,</w:t>
      </w:r>
      <w:r>
        <w:t xml:space="preserve"> </w:t>
      </w:r>
      <w:r>
        <w:rPr>
          <w:iCs/>
          <w:i/>
        </w:rPr>
        <w:t xml:space="preserve">C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D</w:t>
      </w:r>
      <w:r>
        <w:t xml:space="preserve">).</w:t>
      </w:r>
    </w:p>
    <w:p>
      <w:pPr>
        <w:pStyle w:val="BodyText"/>
      </w:pPr>
      <w:r>
        <w:rPr>
          <w:bCs/>
          <w:b/>
        </w:rPr>
        <w:t xml:space="preserve">Fig. 2. Genes which are significant in one comparison, but not</w:t>
      </w:r>
      <w:r>
        <w:rPr>
          <w:bCs/>
          <w:b/>
        </w:rPr>
        <w:t xml:space="preserve"> </w:t>
      </w:r>
      <w:r>
        <w:rPr>
          <w:bCs/>
          <w:b/>
        </w:rPr>
        <w:t xml:space="preserve">the other do not show a statistically significant interaction.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D</w:t>
      </w:r>
      <w:r>
        <w:t xml:space="preserve">, examples of genes which are DEG in one group, but are not</w:t>
      </w:r>
      <w:r>
        <w:t xml:space="preserve"> </w:t>
      </w:r>
      <w:r>
        <w:t xml:space="preserve">significantly different in the other group.</w:t>
      </w:r>
      <w:r>
        <w:t xml:space="preserve"> </w:t>
      </w:r>
      <w:r>
        <w:t xml:space="preserve">“</w:t>
      </w:r>
      <w:r>
        <w:t xml:space="preserve">Ctrl,</w:t>
      </w:r>
      <w:r>
        <w:t xml:space="preserve">”</w:t>
      </w:r>
      <w:r>
        <w:t xml:space="preserve"> </w:t>
      </w:r>
      <w:r>
        <w:t xml:space="preserve">healthy individuals;</w:t>
      </w:r>
      <w:r>
        <w:t xml:space="preserve"> </w:t>
      </w:r>
      <w:r>
        <w:t xml:space="preserve">“</w:t>
      </w:r>
      <w:r>
        <w:t xml:space="preserve">SC2,</w:t>
      </w:r>
      <w:r>
        <w:t xml:space="preserve">”</w:t>
      </w:r>
      <w:r>
        <w:t xml:space="preserve"> </w:t>
      </w:r>
      <w:r>
        <w:t xml:space="preserve">Sars-Cov-2 infected patients. Values above the plot indicate FDR (p-values</w:t>
      </w:r>
      <w:r>
        <w:t xml:space="preserve"> </w:t>
      </w:r>
      <w:r>
        <w:t xml:space="preserve">corrected for multiple testing).</w:t>
      </w:r>
      <w:r>
        <w:t xml:space="preserve"> </w:t>
      </w:r>
      <w:r>
        <w:rPr>
          <w:bCs/>
          <w:b/>
        </w:rPr>
        <w:t xml:space="preserve">E</w:t>
      </w:r>
      <w:r>
        <w:t xml:space="preserve">, correlation between log</w:t>
      </w:r>
      <w:r>
        <w:rPr>
          <w:vertAlign w:val="subscript"/>
        </w:rPr>
        <w:t xml:space="preserve">2</w:t>
      </w:r>
      <w:r>
        <w:t xml:space="preserve"> </w:t>
      </w:r>
      <w:r>
        <w:t xml:space="preserve">fold</w:t>
      </w:r>
      <w:r>
        <w:t xml:space="preserve"> </w:t>
      </w:r>
      <w:r>
        <w:t xml:space="preserve">changes in G1 and G2. Color indicates genes which are are significant in</w:t>
      </w:r>
      <w:r>
        <w:t xml:space="preserve"> </w:t>
      </w:r>
      <w:r>
        <w:t xml:space="preserve">one, but not significant in the other comparison; red indicates genes significant in G1,</w:t>
      </w:r>
      <w:r>
        <w:t xml:space="preserve"> </w:t>
      </w:r>
      <w:r>
        <w:t xml:space="preserve">blue indicates genes significant in G2. The overall Pearson correlation</w:t>
      </w:r>
      <w:r>
        <w:t xml:space="preserve"> </w:t>
      </w:r>
      <w:r>
        <w:t xml:space="preserve">coefficient between log</w:t>
      </w:r>
      <w:r>
        <w:rPr>
          <w:vertAlign w:val="subscript"/>
        </w:rPr>
        <w:t xml:space="preserve">2</w:t>
      </w:r>
      <w:r>
        <w:t xml:space="preserve"> </w:t>
      </w:r>
      <w:r>
        <w:t xml:space="preserve">fold changes is</w:t>
      </w:r>
      <w:r>
        <w:t xml:space="preserve"> </w:t>
      </w:r>
      <w:r>
        <w:t xml:space="preserve">0.55.</w:t>
      </w:r>
    </w:p>
    <w:p>
      <w:pPr>
        <w:pStyle w:val="BodyText"/>
      </w:pPr>
      <w:r>
        <w:drawing>
          <wp:inline>
            <wp:extent cx="5943600" cy="32689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nuscript_files/figure-docx/fig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Consequently, it is not possible to calculate gene set enrichment for the</w:t>
      </w:r>
      <w:r>
        <w:t xml:space="preserve"> </w:t>
      </w:r>
      <w:r>
        <w:t xml:space="preserve">interaction using a</w:t>
      </w:r>
      <w:r>
        <w:t xml:space="preserve"> </w:t>
      </w:r>
      <w:r>
        <w:t xml:space="preserve">hypergeometric test, as there are no DEGs for the interaction contrast.</w:t>
      </w:r>
      <w:r>
        <w:t xml:space="preserve"> </w:t>
      </w:r>
      <w:r>
        <w:t xml:space="preserve">Gene set enrichment using a second generation algorithm (CERNO), relying on the</w:t>
      </w:r>
      <w:r>
        <w:t xml:space="preserve"> </w:t>
      </w:r>
      <w:r>
        <w:t xml:space="preserve">ordering of genes according to their raw p-values from the interaction</w:t>
      </w:r>
      <w:r>
        <w:t xml:space="preserve"> </w:t>
      </w:r>
      <w:r>
        <w:t xml:space="preserve">contrast rather than selecting a</w:t>
      </w:r>
      <w:r>
        <w:t xml:space="preserve"> </w:t>
      </w:r>
      <w:r>
        <w:t xml:space="preserve">set of DEGs</w:t>
      </w:r>
      <w:r>
        <w:t xml:space="preserve"> </w:t>
      </w:r>
      <w:r>
        <w:t xml:space="preserve">(</w:t>
      </w:r>
      <w:hyperlink w:anchor="ref-zyla2019gene">
        <w:r>
          <w:rPr>
            <w:rStyle w:val="Hyperlink"/>
          </w:rPr>
          <w:t xml:space="preserve">Zyla et al. 2019</w:t>
        </w:r>
      </w:hyperlink>
      <w:r>
        <w:t xml:space="preserve">)</w:t>
      </w:r>
      <w:r>
        <w:t xml:space="preserve">, does not show any significant enrichment.</w:t>
      </w:r>
    </w:p>
    <w:bookmarkEnd w:id="24"/>
    <w:bookmarkStart w:id="26" w:name="Xa2d54db36ad6a63bcf31c4077bbf67da079f2c2"/>
    <w:p>
      <w:pPr>
        <w:pStyle w:val="Heading3"/>
      </w:pPr>
      <w:r>
        <w:t xml:space="preserve">Artifacts arise because of false negatives</w:t>
      </w:r>
    </w:p>
    <w:p>
      <w:pPr>
        <w:pStyle w:val="FirstParagraph"/>
      </w:pPr>
      <w:r>
        <w:t xml:space="preserve">It is worth noting that in the gene set enrichment analysis of the genes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for a given comparison – i.e., genes which are significant in</w:t>
      </w:r>
      <w:r>
        <w:t xml:space="preserve"> </w:t>
      </w:r>
      <w:r>
        <w:t xml:space="preserve">that comparison, but not significant in others – we have observed a number</w:t>
      </w:r>
      <w:r>
        <w:t xml:space="preserve"> </w:t>
      </w:r>
      <w:r>
        <w:t xml:space="preserve">of terms associated with immune response. It is a crucial point of this</w:t>
      </w:r>
      <w:r>
        <w:t xml:space="preserve"> </w:t>
      </w:r>
      <w:r>
        <w:t xml:space="preserve">manuscript to note that the spurious enrichments not only show significant</w:t>
      </w:r>
      <w:r>
        <w:t xml:space="preserve"> </w:t>
      </w:r>
      <w:r>
        <w:t xml:space="preserve">p-values, but also that the terms or pathways which appear in them are</w:t>
      </w:r>
      <w:r>
        <w:t xml:space="preserve"> </w:t>
      </w:r>
      <w:r>
        <w:t xml:space="preserve">relevant to the research hypothesis being tested. Below, we will show why</w:t>
      </w:r>
      <w:r>
        <w:t xml:space="preserve"> </w:t>
      </w:r>
      <w:r>
        <w:t xml:space="preserve">these terms (rather than random terms which have no obvious relevance for</w:t>
      </w:r>
      <w:r>
        <w:t xml:space="preserve"> </w:t>
      </w:r>
      <w:r>
        <w:t xml:space="preserve">an infectious disease) appear in the results.</w:t>
      </w:r>
    </w:p>
    <w:p>
      <w:pPr>
        <w:pStyle w:val="BodyText"/>
      </w:pPr>
      <w:r>
        <w:t xml:space="preserve">To understand how gene set enrichment actually gives significant</w:t>
      </w:r>
      <w:r>
        <w:t xml:space="preserve"> </w:t>
      </w:r>
      <w:r>
        <w:t xml:space="preserve">results in such randomly generated gene sets, despite absence of genes with</w:t>
      </w:r>
      <w:r>
        <w:t xml:space="preserve"> </w:t>
      </w:r>
      <w:r>
        <w:t xml:space="preserve">significant interaction, it is first necessary to consider the definition</w:t>
      </w:r>
      <w:r>
        <w:t xml:space="preserve"> </w:t>
      </w:r>
      <w:r>
        <w:t xml:space="preserve">of a differentially expressed gene in this context. More often than not,</w:t>
      </w:r>
      <w:r>
        <w:t xml:space="preserve"> </w:t>
      </w:r>
      <w:r>
        <w:t xml:space="preserve">DEGs are defined by a threshold in p-value adjusted for multiple testing,</w:t>
      </w:r>
      <w:r>
        <w:t xml:space="preserve"> </w:t>
      </w:r>
      <w:r>
        <w:t xml:space="preserve">possibly combined with a threshold in log</w:t>
      </w:r>
      <w:r>
        <w:rPr>
          <w:vertAlign w:val="subscript"/>
        </w:rPr>
        <w:t xml:space="preserve">2</w:t>
      </w:r>
      <w:r>
        <w:t xml:space="preserve"> </w:t>
      </w:r>
      <w:r>
        <w:t xml:space="preserve">fold change. The commonly used</w:t>
      </w:r>
      <w:r>
        <w:t xml:space="preserve"> </w:t>
      </w:r>
      <w:r>
        <w:t xml:space="preserve">Benjamini-Hochberg procedure</w:t>
      </w:r>
      <w:r>
        <w:t xml:space="preserve"> </w:t>
      </w:r>
      <w:r>
        <w:t xml:space="preserve">(</w:t>
      </w:r>
      <w:hyperlink w:anchor="ref-benjamini1995controlling">
        <w:r>
          <w:rPr>
            <w:rStyle w:val="Hyperlink"/>
          </w:rPr>
          <w:t xml:space="preserve">Benjamini and Hochberg 1995</w:t>
        </w:r>
      </w:hyperlink>
      <w:r>
        <w:t xml:space="preserve">)</w:t>
      </w:r>
      <w:r>
        <w:t xml:space="preserve"> </w:t>
      </w:r>
      <w:r>
        <w:t xml:space="preserve">ensures that among</w:t>
      </w:r>
      <w:r>
        <w:t xml:space="preserve"> </w:t>
      </w:r>
      <w:r>
        <w:t xml:space="preserve">genes for which the adjusted p</w:t>
      </w:r>
      <w:r>
        <w:rPr>
          <w:vertAlign w:val="subscript"/>
        </w:rPr>
        <w:t xml:space="preserve">adj</w:t>
      </w:r>
      <w:r>
        <w:t xml:space="preserve"> </w:t>
      </w:r>
      <w:r>
        <w:t xml:space="preserve">&lt; 0.05 there are at most 5% false</w:t>
      </w:r>
      <w:r>
        <w:t xml:space="preserve"> </w:t>
      </w:r>
      <w:r>
        <w:t xml:space="preserve">positives.</w:t>
      </w:r>
    </w:p>
    <w:p>
      <w:pPr>
        <w:pStyle w:val="BodyText"/>
      </w:pPr>
      <w:r>
        <w:t xml:space="preserve">This way, we can exert control over the false positive rate (FPR, type I</w:t>
      </w:r>
      <w:r>
        <w:t xml:space="preserve"> </w:t>
      </w:r>
      <w:r>
        <w:t xml:space="preserve">errors), keeping it at a relatively low level. However, we do not control</w:t>
      </w:r>
      <w:r>
        <w:t xml:space="preserve"> </w:t>
      </w:r>
      <w:r>
        <w:t xml:space="preserve">the false negative rate (FNR, type II errors). In a powerful statistical</w:t>
      </w:r>
      <w:r>
        <w:t xml:space="preserve"> </w:t>
      </w:r>
      <w:r>
        <w:t xml:space="preserve">test (such as a t-test), the test power in a typical application will</w:t>
      </w:r>
      <w:r>
        <w:t xml:space="preserve"> </w:t>
      </w:r>
      <w:r>
        <w:t xml:space="preserve">rarely achieve more than 80%. For example, even for large</w:t>
      </w:r>
      <w:r>
        <w:t xml:space="preserve"> </w:t>
      </w:r>
      <w:r>
        <w:t xml:space="preserve">effects (Cohen’s d &gt; 0.8) and type I error rate of 0.05, a t-test only achieves</w:t>
      </w:r>
      <w:r>
        <w:t xml:space="preserve"> </w:t>
      </w:r>
      <w:r>
        <w:t xml:space="preserve">80% power with at least</w:t>
      </w:r>
      <w:r>
        <w:t xml:space="preserve"> </w:t>
      </w:r>
      <w:r>
        <w:t xml:space="preserve">25</w:t>
      </w:r>
      <w:r>
        <w:t xml:space="preserve"> </w:t>
      </w:r>
      <w:r>
        <w:t xml:space="preserve">samples per group. For small effects (Cohen’s d &gt; 0.2), the required number</w:t>
      </w:r>
      <w:r>
        <w:t xml:space="preserve"> </w:t>
      </w:r>
      <w:r>
        <w:t xml:space="preserve">of samples is at least</w:t>
      </w:r>
      <w:r>
        <w:t xml:space="preserve"> </w:t>
      </w:r>
      <w:r>
        <w:t xml:space="preserve">393</w:t>
      </w:r>
      <w:r>
        <w:t xml:space="preserve"> </w:t>
      </w:r>
      <w:r>
        <w:t xml:space="preserve">per group.</w:t>
      </w:r>
      <w:r>
        <w:t xml:space="preserve"> </w:t>
      </w:r>
      <w:r>
        <w:t xml:space="preserve">Even assuming a test power of 80%, the FNR is 20%. Clearly, false negatives (FNs) occur</w:t>
      </w:r>
      <w:r>
        <w:t xml:space="preserve"> </w:t>
      </w:r>
      <w:r>
        <w:t xml:space="preserve">at much higher rates than false positives (FPs). In case of high throughput</w:t>
      </w:r>
      <w:r>
        <w:t xml:space="preserve"> </w:t>
      </w:r>
      <w:r>
        <w:t xml:space="preserve">data sets, where the FPR is controlled by Bejnamini-Hochberg procedure or a</w:t>
      </w:r>
      <w:r>
        <w:t xml:space="preserve"> </w:t>
      </w:r>
      <w:r>
        <w:t xml:space="preserve">similar technique, the FNR may be even as high as 80%</w:t>
      </w:r>
      <w:r>
        <w:t xml:space="preserve"> </w:t>
      </w:r>
      <w:r>
        <w:t xml:space="preserve">(</w:t>
      </w:r>
      <w:hyperlink w:anchor="ref-white2019beyond">
        <w:r>
          <w:rPr>
            <w:rStyle w:val="Hyperlink"/>
          </w:rPr>
          <w:t xml:space="preserve">White, Ende, and Nichols 2019</w:t>
        </w:r>
      </w:hyperlink>
      <w:r>
        <w:t xml:space="preserve">)</w:t>
      </w:r>
      <w:r>
        <w:t xml:space="preserve">.</w:t>
      </w:r>
    </w:p>
    <w:p>
      <w:pPr>
        <w:pStyle w:val="BodyText"/>
      </w:pPr>
      <w:r>
        <w:t xml:space="preserve">These FNs will occur</w:t>
      </w:r>
      <w:r>
        <w:t xml:space="preserve"> </w:t>
      </w:r>
      <w:r>
        <w:t xml:space="preserve">at a much higher rate within the sets of DEGs defined by the</w:t>
      </w:r>
      <w:r>
        <w:t xml:space="preserve"> </w:t>
      </w:r>
      <w:r>
        <w:t xml:space="preserve">non-overlaping areas of the VDs, that is DEGs considered to be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for one group or other in a naive approach.</w:t>
      </w:r>
      <w:r>
        <w:t xml:space="preserve"> </w:t>
      </w:r>
      <w:r>
        <w:t xml:space="preserve">To illustrate this phenomenon, we have analysed the full data set from which G1 and G2</w:t>
      </w:r>
      <w:r>
        <w:t xml:space="preserve"> </w:t>
      </w:r>
      <w:r>
        <w:t xml:space="preserve">were drawn (Fig. 3), comparing the</w:t>
      </w:r>
      <w:r>
        <w:t xml:space="preserve"> </w:t>
      </w:r>
      <w:r>
        <w:t xml:space="preserve">100</w:t>
      </w:r>
      <w:r>
        <w:t xml:space="preserve"> </w:t>
      </w:r>
      <w:r>
        <w:t xml:space="preserve">healthy controls to</w:t>
      </w:r>
      <w:r>
        <w:t xml:space="preserve"> </w:t>
      </w:r>
      <w:r>
        <w:t xml:space="preserve">93</w:t>
      </w:r>
      <w:r>
        <w:t xml:space="preserve"> </w:t>
      </w:r>
      <w:r>
        <w:t xml:space="preserve">COVID-19 patients. Of the</w:t>
      </w:r>
      <w:r>
        <w:t xml:space="preserve"> </w:t>
      </w:r>
      <w:r>
        <w:t xml:space="preserve">431</w:t>
      </w:r>
      <w:r>
        <w:t xml:space="preserve"> </w:t>
      </w:r>
      <w:r>
        <w:t xml:space="preserve">genes significant in G1, but not in G2,</w:t>
      </w:r>
      <w:r>
        <w:t xml:space="preserve"> </w:t>
      </w:r>
      <w:r>
        <w:t xml:space="preserve">199</w:t>
      </w:r>
      <w:r>
        <w:t xml:space="preserve"> </w:t>
      </w:r>
      <w:r>
        <w:t xml:space="preserve">(46%)</w:t>
      </w:r>
      <w:r>
        <w:t xml:space="preserve"> </w:t>
      </w:r>
      <w:r>
        <w:t xml:space="preserve">are significant in the full data set;</w:t>
      </w:r>
      <w:r>
        <w:t xml:space="preserve"> </w:t>
      </w:r>
      <w:r>
        <w:t xml:space="preserve">of the</w:t>
      </w:r>
      <w:r>
        <w:t xml:space="preserve"> </w:t>
      </w:r>
      <w:r>
        <w:t xml:space="preserve">278</w:t>
      </w:r>
      <w:r>
        <w:t xml:space="preserve"> </w:t>
      </w:r>
      <w:r>
        <w:t xml:space="preserve">genes significant in G2, but not in G1,</w:t>
      </w:r>
      <w:r>
        <w:t xml:space="preserve"> </w:t>
      </w:r>
      <w:r>
        <w:t xml:space="preserve">99</w:t>
      </w:r>
      <w:r>
        <w:t xml:space="preserve"> </w:t>
      </w:r>
      <w:r>
        <w:t xml:space="preserve">(36%)</w:t>
      </w:r>
      <w:r>
        <w:t xml:space="preserve"> </w:t>
      </w:r>
      <w:r>
        <w:t xml:space="preserve">are significant in the full data set.</w:t>
      </w:r>
      <w:r>
        <w:t xml:space="preserve"> </w:t>
      </w:r>
      <w:r>
        <w:t xml:space="preserve">Given that G1 and G2 were sampled from the total population, and since the</w:t>
      </w:r>
      <w:r>
        <w:t xml:space="preserve"> </w:t>
      </w:r>
      <w:r>
        <w:t xml:space="preserve">FDR was set to 0.05, we can assume that at least between a third and a half of</w:t>
      </w:r>
      <w:r>
        <w:t xml:space="preserve"> </w:t>
      </w:r>
      <w:r>
        <w:t xml:space="preserve">the genes that appeared to be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in the initial analysis were, in</w:t>
      </w:r>
      <w:r>
        <w:t xml:space="preserve"> </w:t>
      </w:r>
      <w:r>
        <w:t xml:space="preserve">fact, false negatives in one of the comparisons.</w:t>
      </w:r>
    </w:p>
    <w:p>
      <w:pPr>
        <w:pStyle w:val="BodyText"/>
      </w:pPr>
      <w:r>
        <w:t xml:space="preserve">In other words, a substantial fraction of the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genes are genes</w:t>
      </w:r>
      <w:r>
        <w:t xml:space="preserve"> </w:t>
      </w:r>
      <w:r>
        <w:t xml:space="preserve">that are in reality differentially expressed in both groups alike.</w:t>
      </w:r>
      <w:r>
        <w:t xml:space="preserve"> </w:t>
      </w:r>
      <w:r>
        <w:t xml:space="preserve">Therefore, if one is to perform a gene set enrichment analysis on one of</w:t>
      </w:r>
      <w:r>
        <w:t xml:space="preserve"> </w:t>
      </w:r>
      <w:r>
        <w:t xml:space="preserve">these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groups of genes, then the enriched functions will be</w:t>
      </w:r>
      <w:r>
        <w:t xml:space="preserve"> </w:t>
      </w:r>
      <w:r>
        <w:t xml:space="preserve">related to the pathways and processes up- or down-regulated in both groups</w:t>
      </w:r>
      <w:r>
        <w:t xml:space="preserve"> </w:t>
      </w:r>
      <w:r>
        <w:t xml:space="preserve">due to the common factor (in this example, the COVID-19 disease), but</w:t>
      </w:r>
      <w:r>
        <w:t xml:space="preserve"> </w:t>
      </w:r>
      <w:r>
        <w:t xml:space="preserve">which are not related to differences between the two groups.</w:t>
      </w:r>
    </w:p>
    <w:p>
      <w:pPr>
        <w:pStyle w:val="BodyText"/>
      </w:pPr>
      <w:r>
        <w:rPr>
          <w:bCs/>
          <w:b/>
        </w:rPr>
        <w:t xml:space="preserve">Fig. 3. Area-proportional Venn diagram showing overlaps in DEGs between</w:t>
      </w:r>
      <w:r>
        <w:rPr>
          <w:bCs/>
          <w:b/>
        </w:rPr>
        <w:t xml:space="preserve"> </w:t>
      </w:r>
      <w:r>
        <w:rPr>
          <w:bCs/>
          <w:b/>
        </w:rPr>
        <w:t xml:space="preserve">G1, G2 and the full data set.</w:t>
      </w:r>
      <w:r>
        <w:t xml:space="preserve"> </w:t>
      </w:r>
      <w:r>
        <w:t xml:space="preserve">The majority of genes which have been labeled</w:t>
      </w:r>
      <w:r>
        <w:t xml:space="preserve"> </w:t>
      </w:r>
      <w:r>
        <w:t xml:space="preserve">as DEGs in only one of the groups G1, G2 are DEGs when all data were</w:t>
      </w:r>
      <w:r>
        <w:t xml:space="preserve"> </w:t>
      </w:r>
      <w:r>
        <w:t xml:space="preserve">analysed.</w:t>
      </w:r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nuscript_files/figure-docx/fig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End w:id="27"/>
    <w:bookmarkStart w:id="2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In an informal survey of articles from the journal</w:t>
      </w:r>
      <w:r>
        <w:t xml:space="preserve"> </w:t>
      </w:r>
      <w:r>
        <w:t xml:space="preserve">“</w:t>
      </w:r>
      <w:r>
        <w:t xml:space="preserve">Scientific reports</w:t>
      </w:r>
      <w:r>
        <w:t xml:space="preserve">”</w:t>
      </w:r>
      <w:r>
        <w:t xml:space="preserve"> </w:t>
      </w:r>
      <w:r>
        <w:t xml:space="preserve">(chosen for its broad scope, large number of published articles and open</w:t>
      </w:r>
      <w:r>
        <w:t xml:space="preserve"> </w:t>
      </w:r>
      <w:r>
        <w:t xml:space="preserve">access), of the 238 articles from 2021 which used the term</w:t>
      </w:r>
      <w:r>
        <w:t xml:space="preserve"> </w:t>
      </w:r>
      <w:r>
        <w:t xml:space="preserve">“</w:t>
      </w:r>
      <w:r>
        <w:t xml:space="preserve">venn diagram</w:t>
      </w:r>
      <w:r>
        <w:t xml:space="preserve">”</w:t>
      </w:r>
      <w:r>
        <w:t xml:space="preserve"> </w:t>
      </w:r>
      <w:r>
        <w:t xml:space="preserve">and</w:t>
      </w:r>
      <w:r>
        <w:t xml:space="preserve"> </w:t>
      </w:r>
      <w:r>
        <w:t xml:space="preserve">“</w:t>
      </w:r>
      <w:r>
        <w:t xml:space="preserve">differential expression,</w:t>
      </w:r>
      <w:r>
        <w:t xml:space="preserve">”</w:t>
      </w:r>
      <w:r>
        <w:t xml:space="preserve"> </w:t>
      </w:r>
      <w:r>
        <w:t xml:space="preserve">at least</w:t>
      </w:r>
      <w:r>
        <w:t xml:space="preserve"> </w:t>
      </w:r>
      <w:r>
        <w:t xml:space="preserve">73</w:t>
      </w:r>
      <w:r>
        <w:t xml:space="preserve"> </w:t>
      </w:r>
      <w:r>
        <w:t xml:space="preserve">were using Venn diagrams to compare</w:t>
      </w:r>
      <w:r>
        <w:t xml:space="preserve"> </w:t>
      </w:r>
      <w:r>
        <w:t xml:space="preserve">statistical significance with lack thereof by referring to</w:t>
      </w:r>
      <w:r>
        <w:t xml:space="preserve"> </w:t>
      </w:r>
      <w:r>
        <w:t xml:space="preserve">“</w:t>
      </w:r>
      <w:r>
        <w:t xml:space="preserve">unique,</w:t>
      </w:r>
      <w:r>
        <w:t xml:space="preserve">”</w:t>
      </w:r>
      <w:r>
        <w:t xml:space="preserve"> </w:t>
      </w:r>
      <w:r>
        <w:t xml:space="preserve">“</w:t>
      </w:r>
      <w:r>
        <w:t xml:space="preserve">specific,</w:t>
      </w:r>
      <w:r>
        <w:t xml:space="preserve">”</w:t>
      </w:r>
      <w:r>
        <w:t xml:space="preserve"> </w:t>
      </w:r>
      <w:r>
        <w:t xml:space="preserve">“</w:t>
      </w:r>
      <w:r>
        <w:t xml:space="preserve">solely regulated</w:t>
      </w:r>
      <w:r>
        <w:t xml:space="preserve">”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exclusive</w:t>
      </w:r>
      <w:r>
        <w:t xml:space="preserve">”</w:t>
      </w:r>
      <w:r>
        <w:t xml:space="preserve"> </w:t>
      </w:r>
      <w:r>
        <w:t xml:space="preserve">DEGs. Out of these, at least</w:t>
      </w:r>
      <w:r>
        <w:t xml:space="preserve"> </w:t>
      </w:r>
      <w:r>
        <w:t xml:space="preserve">31</w:t>
      </w:r>
      <w:r>
        <w:t xml:space="preserve"> </w:t>
      </w:r>
      <w:r>
        <w:t xml:space="preserve">coupled the VDs with some form of gene set enrichment analysis on the</w:t>
      </w:r>
      <w:r>
        <w:t xml:space="preserve"> </w:t>
      </w:r>
      <w:r>
        <w:t xml:space="preserve">set of supposedly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DEGs.</w:t>
      </w:r>
    </w:p>
    <w:p>
      <w:pPr>
        <w:pStyle w:val="BodyText"/>
      </w:pPr>
      <w:r>
        <w:t xml:space="preserve">Drawing conclusions from comparing significance with lack thereof is a</w:t>
      </w:r>
      <w:r>
        <w:t xml:space="preserve"> </w:t>
      </w:r>
      <w:r>
        <w:t xml:space="preserve">common statistical fallacy</w:t>
      </w:r>
      <w:r>
        <w:t xml:space="preserve"> </w:t>
      </w:r>
      <w:r>
        <w:t xml:space="preserve">(</w:t>
      </w:r>
      <w:hyperlink w:anchor="ref-gelman2006difference">
        <w:r>
          <w:rPr>
            <w:rStyle w:val="Hyperlink"/>
          </w:rPr>
          <w:t xml:space="preserve">Gelman and Stern 2006</w:t>
        </w:r>
      </w:hyperlink>
      <w:r>
        <w:t xml:space="preserve">)</w:t>
      </w:r>
      <w:r>
        <w:t xml:space="preserve">. Just as absence of evidence is not evidence of</w:t>
      </w:r>
      <w:r>
        <w:t xml:space="preserve"> </w:t>
      </w:r>
      <w:r>
        <w:t xml:space="preserve">absence, the failure to reject the null hypothesis does not consitute the</w:t>
      </w:r>
      <w:r>
        <w:t xml:space="preserve"> </w:t>
      </w:r>
      <w:r>
        <w:t xml:space="preserve">same level of evidence as rejecting it. However, when such an incorrect</w:t>
      </w:r>
      <w:r>
        <w:t xml:space="preserve"> </w:t>
      </w:r>
      <w:r>
        <w:t xml:space="preserve">analysis is combined with downstream functional analysis – i.e., gene set</w:t>
      </w:r>
      <w:r>
        <w:t xml:space="preserve"> </w:t>
      </w:r>
      <w:r>
        <w:t xml:space="preserve">enrichments of genes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to one or another comparison – the</w:t>
      </w:r>
      <w:r>
        <w:t xml:space="preserve"> </w:t>
      </w:r>
      <w:r>
        <w:t xml:space="preserve">resulting pathways or gene ontologies are misleadingly relevant, yielding</w:t>
      </w:r>
      <w:r>
        <w:t xml:space="preserve"> </w:t>
      </w:r>
      <w:r>
        <w:t xml:space="preserve">gene sets associated with immune answer for research hypotheses involving</w:t>
      </w:r>
      <w:r>
        <w:t xml:space="preserve"> </w:t>
      </w:r>
      <w:r>
        <w:t xml:space="preserve">an infectious disease, or cancer pathways if the underlying research</w:t>
      </w:r>
      <w:r>
        <w:t xml:space="preserve"> </w:t>
      </w:r>
      <w:r>
        <w:t xml:space="preserve">hypothesis involved cancer treatment. Such results may be hard to resist</w:t>
      </w:r>
      <w:r>
        <w:t xml:space="preserve"> </w:t>
      </w:r>
      <w:r>
        <w:t xml:space="preserve">for an involved researcher, especially if the correct analysis of</w:t>
      </w:r>
      <w:r>
        <w:t xml:space="preserve"> </w:t>
      </w:r>
      <w:r>
        <w:t xml:space="preserve">interactions does not show any significant differences.</w:t>
      </w:r>
    </w:p>
    <w:p>
      <w:pPr>
        <w:pStyle w:val="BodyText"/>
      </w:pPr>
      <w:r>
        <w:t xml:space="preserve">That is not to say that VDs are not a useful tool, even in the context of</w:t>
      </w:r>
      <w:r>
        <w:t xml:space="preserve"> </w:t>
      </w:r>
      <w:r>
        <w:t xml:space="preserve">transcriptomics and gene set enrichments, if used correctly. For example, analysis of an</w:t>
      </w:r>
      <w:r>
        <w:t xml:space="preserve"> </w:t>
      </w:r>
      <w:r>
        <w:t xml:space="preserve">intersection of DEGs (i.e., by considering genes from the overlap in a VD)</w:t>
      </w:r>
      <w:r>
        <w:t xml:space="preserve"> </w:t>
      </w:r>
      <w:r>
        <w:t xml:space="preserve">is not an incorrect procedure. Genes in the overlapping part of a VD are</w:t>
      </w:r>
      <w:r>
        <w:t xml:space="preserve"> </w:t>
      </w:r>
      <w:r>
        <w:t xml:space="preserve">significant in both (or all) comparisons, hence no comparison between</w:t>
      </w:r>
      <w:r>
        <w:t xml:space="preserve"> </w:t>
      </w:r>
      <w:r>
        <w:t xml:space="preserve">significance and non-significance is made.</w:t>
      </w:r>
    </w:p>
    <w:p>
      <w:pPr>
        <w:pStyle w:val="BodyText"/>
      </w:pPr>
      <w:r>
        <w:t xml:space="preserve">As an alternative to Venn diagrams two approaches can be considered.</w:t>
      </w:r>
      <w:r>
        <w:t xml:space="preserve"> </w:t>
      </w:r>
      <w:r>
        <w:t xml:space="preserve">Firstly, as shown above, a test for interaction can reveal genes for which</w:t>
      </w:r>
      <w:r>
        <w:t xml:space="preserve"> </w:t>
      </w:r>
      <w:r>
        <w:t xml:space="preserve">the impact of treatment significantly differ between the groups. As a mean</w:t>
      </w:r>
      <w:r>
        <w:t xml:space="preserve"> </w:t>
      </w:r>
      <w:r>
        <w:t xml:space="preserve">of visualization, we recommend plotting the log</w:t>
      </w:r>
      <w:r>
        <w:rPr>
          <w:vertAlign w:val="subscript"/>
        </w:rPr>
        <w:t xml:space="preserve">2</w:t>
      </w:r>
      <w:r>
        <w:t xml:space="preserve"> </w:t>
      </w:r>
      <w:r>
        <w:t xml:space="preserve">fold changes in one</w:t>
      </w:r>
      <w:r>
        <w:t xml:space="preserve"> </w:t>
      </w:r>
      <w:r>
        <w:t xml:space="preserve">comparison versus the log</w:t>
      </w:r>
      <w:r>
        <w:rPr>
          <w:vertAlign w:val="subscript"/>
        </w:rPr>
        <w:t xml:space="preserve">2</w:t>
      </w:r>
      <w:r>
        <w:t xml:space="preserve"> </w:t>
      </w:r>
      <w:r>
        <w:t xml:space="preserve">fold changes in the other comparison. In</w:t>
      </w:r>
      <w:r>
        <w:t xml:space="preserve"> </w:t>
      </w:r>
      <w:r>
        <w:t xml:space="preserve">addition, a concordance / discordance analysis may provide additional</w:t>
      </w:r>
      <w:r>
        <w:t xml:space="preserve"> </w:t>
      </w:r>
      <w:r>
        <w:t xml:space="preserve">insight in genes which are regulated either in the same direction or in the</w:t>
      </w:r>
      <w:r>
        <w:t xml:space="preserve"> </w:t>
      </w:r>
      <w:r>
        <w:t xml:space="preserve">opposite directions in both groups</w:t>
      </w:r>
      <w:r>
        <w:t xml:space="preserve"> </w:t>
      </w:r>
      <w:r>
        <w:t xml:space="preserve">(</w:t>
      </w:r>
      <w:hyperlink w:anchor="ref-domaszewska2017concordant">
        <w:r>
          <w:rPr>
            <w:rStyle w:val="Hyperlink"/>
          </w:rPr>
          <w:t xml:space="preserve">Domaszewska et al. 2017</w:t>
        </w:r>
      </w:hyperlink>
      <w:r>
        <w:t xml:space="preserve">)</w:t>
      </w:r>
      <w:r>
        <w:t xml:space="preserve">.</w:t>
      </w:r>
    </w:p>
    <w:p>
      <w:pPr>
        <w:pStyle w:val="BodyText"/>
      </w:pPr>
      <w:r>
        <w:t xml:space="preserve">While the use of Venn diagrams in combination with the incorrect gene set</w:t>
      </w:r>
      <w:r>
        <w:t xml:space="preserve"> </w:t>
      </w:r>
      <w:r>
        <w:t xml:space="preserve">enrichment analysis is common, it is not the only way of achieving</w:t>
      </w:r>
      <w:r>
        <w:t xml:space="preserve"> </w:t>
      </w:r>
      <w:r>
        <w:t xml:space="preserve">artifactual and incorrect conclusions by means of comparing significant</w:t>
      </w:r>
      <w:r>
        <w:t xml:space="preserve"> </w:t>
      </w:r>
      <w:r>
        <w:t xml:space="preserve">with non-significant results in transcriptomics and other high-throughput</w:t>
      </w:r>
      <w:r>
        <w:t xml:space="preserve"> </w:t>
      </w:r>
      <w:r>
        <w:t xml:space="preserve">applications. Our literature survey showed that at least two other ways are</w:t>
      </w:r>
      <w:r>
        <w:t xml:space="preserve"> </w:t>
      </w:r>
      <w:r>
        <w:t xml:space="preserve">common. Firstly, the direct comparison of gene set enrichment</w:t>
      </w:r>
      <w:r>
        <w:t xml:space="preserve"> </w:t>
      </w:r>
      <w:r>
        <w:t xml:space="preserve">results: that is, drawing conclusions from the fact that a gene set</w:t>
      </w:r>
      <w:r>
        <w:t xml:space="preserve"> </w:t>
      </w:r>
      <w:r>
        <w:t xml:space="preserve">enrichment result was significant in one comparison only.</w:t>
      </w:r>
      <w:r>
        <w:t xml:space="preserve"> </w:t>
      </w:r>
      <w:r>
        <w:t xml:space="preserve">Second, while Venn diagrams are often used to illustrate the numbers of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DEGs and so present a mean to find examples of this fallacy in</w:t>
      </w:r>
      <w:r>
        <w:t xml:space="preserve"> </w:t>
      </w:r>
      <w:r>
        <w:t xml:space="preserve">scientific literature, researches often test for enrichment these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genes without using the phrase</w:t>
      </w:r>
      <w:r>
        <w:t xml:space="preserve"> </w:t>
      </w:r>
      <w:r>
        <w:t xml:space="preserve">“</w:t>
      </w:r>
      <w:r>
        <w:t xml:space="preserve">Venn diagram</w:t>
      </w:r>
      <w:r>
        <w:t xml:space="preserve">”</w:t>
      </w:r>
      <w:r>
        <w:t xml:space="preserve"> </w:t>
      </w:r>
      <w:r>
        <w:t xml:space="preserve">or even clearly</w:t>
      </w:r>
      <w:r>
        <w:t xml:space="preserve"> </w:t>
      </w:r>
      <w:r>
        <w:t xml:space="preserve">stating how the lists of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genes were derived. In all these cases,</w:t>
      </w:r>
      <w:r>
        <w:t xml:space="preserve"> </w:t>
      </w:r>
      <w:r>
        <w:t xml:space="preserve">the analysis boils down to comparing results significant in one, but not in</w:t>
      </w:r>
      <w:r>
        <w:t xml:space="preserve"> </w:t>
      </w:r>
      <w:r>
        <w:t xml:space="preserve">another comparison.</w:t>
      </w:r>
    </w:p>
    <w:p>
      <w:pPr>
        <w:pStyle w:val="BodyText"/>
      </w:pPr>
      <w:r>
        <w:t xml:space="preserve">The use of Venn diagrams to illustrate specific differences between</w:t>
      </w:r>
      <w:r>
        <w:t xml:space="preserve"> </w:t>
      </w:r>
      <w:r>
        <w:t xml:space="preserve">comparisons should therefore be abandoned in favor of statistically correct</w:t>
      </w:r>
      <w:r>
        <w:t xml:space="preserve"> </w:t>
      </w:r>
      <w:r>
        <w:t xml:space="preserve">approaches. Furthermore, gene set enrichment analysis must never be applied</w:t>
      </w:r>
      <w:r>
        <w:t xml:space="preserve"> </w:t>
      </w:r>
      <w:r>
        <w:t xml:space="preserve">to sets of genes defined as significant in one comparison, but not the</w:t>
      </w:r>
      <w:r>
        <w:t xml:space="preserve"> </w:t>
      </w:r>
      <w:r>
        <w:t xml:space="preserve">other.</w:t>
      </w:r>
    </w:p>
    <w:bookmarkEnd w:id="28"/>
    <w:bookmarkStart w:id="34" w:name="methods"/>
    <w:p>
      <w:pPr>
        <w:pStyle w:val="Heading2"/>
      </w:pPr>
      <w:r>
        <w:t xml:space="preserve">Methods</w:t>
      </w:r>
    </w:p>
    <w:bookmarkStart w:id="30" w:name="methods-availability"/>
    <w:p>
      <w:pPr>
        <w:pStyle w:val="Heading3"/>
      </w:pPr>
      <w:r>
        <w:t xml:space="preserve">Methods availability</w:t>
      </w:r>
    </w:p>
    <w:p>
      <w:pPr>
        <w:pStyle w:val="FirstParagraph"/>
      </w:pPr>
      <w:r>
        <w:t xml:space="preserve">This document has been written as an Rmarkdown file, containing all</w:t>
      </w:r>
      <w:r>
        <w:t xml:space="preserve"> </w:t>
      </w:r>
      <w:r>
        <w:t xml:space="preserve">statistical calculations required to replicate the findings and figures.</w:t>
      </w:r>
      <w:r>
        <w:t xml:space="preserve"> </w:t>
      </w:r>
      <w:r>
        <w:t xml:space="preserve">The markdown file, along with additional files required to recreate this</w:t>
      </w:r>
      <w:r>
        <w:t xml:space="preserve"> </w:t>
      </w:r>
      <w:r>
        <w:t xml:space="preserve">manuscript have been uploaded to</w:t>
      </w:r>
      <w:r>
        <w:t xml:space="preserve"> </w:t>
      </w:r>
      <w:hyperlink r:id="rId29">
        <w:r>
          <w:rPr>
            <w:rStyle w:val="Hyperlink"/>
          </w:rPr>
          <w:t xml:space="preserve">https://github.com/bihealth/manuscript_venn_diagrams</w:t>
        </w:r>
      </w:hyperlink>
      <w:r>
        <w:t xml:space="preserve">.</w:t>
      </w:r>
    </w:p>
    <w:bookmarkEnd w:id="30"/>
    <w:bookmarkStart w:id="31" w:name="data"/>
    <w:p>
      <w:pPr>
        <w:pStyle w:val="Heading3"/>
      </w:pPr>
      <w:r>
        <w:t xml:space="preserve">Data</w:t>
      </w:r>
    </w:p>
    <w:p>
      <w:pPr>
        <w:pStyle w:val="FirstParagraph"/>
      </w:pPr>
      <w:r>
        <w:t xml:space="preserve">The expression data as a count matrix has been downloaded from GEO,</w:t>
      </w:r>
      <w:r>
        <w:t xml:space="preserve"> </w:t>
      </w:r>
      <w:r>
        <w:t xml:space="preserve">accession GSE156063.</w:t>
      </w:r>
    </w:p>
    <w:bookmarkEnd w:id="31"/>
    <w:bookmarkStart w:id="32" w:name="statistical-analyses"/>
    <w:p>
      <w:pPr>
        <w:pStyle w:val="Heading3"/>
      </w:pPr>
      <w:r>
        <w:t xml:space="preserve">Statistical analyses</w:t>
      </w:r>
    </w:p>
    <w:p>
      <w:pPr>
        <w:pStyle w:val="FirstParagraph"/>
      </w:pPr>
      <w:r>
        <w:t xml:space="preserve">Power calculation was done using the R package pwr, version</w:t>
      </w:r>
      <w:r>
        <w:t xml:space="preserve"> </w:t>
      </w:r>
      <w:r>
        <w:t xml:space="preserve">1.3.0.</w:t>
      </w:r>
      <w:r>
        <w:t xml:space="preserve"> </w:t>
      </w:r>
      <w:r>
        <w:t xml:space="preserve">For differential gene expression, the R package DESeq2, version</w:t>
      </w:r>
      <w:r>
        <w:t xml:space="preserve"> </w:t>
      </w:r>
      <w:r>
        <w:t xml:space="preserve">1.32.0</w:t>
      </w:r>
      <w:r>
        <w:t xml:space="preserve"> </w:t>
      </w:r>
      <w:r>
        <w:t xml:space="preserve">has been used. Gene set enrichments were done using either hypergeometric</w:t>
      </w:r>
      <w:r>
        <w:t xml:space="preserve"> </w:t>
      </w:r>
      <w:r>
        <w:t xml:space="preserve">test (where stated) or the CERNO test using the package tmod</w:t>
      </w:r>
      <w:r>
        <w:t xml:space="preserve"> </w:t>
      </w:r>
      <w:r>
        <w:t xml:space="preserve">(</w:t>
      </w:r>
      <w:hyperlink w:anchor="ref-zyla2019gene">
        <w:r>
          <w:rPr>
            <w:rStyle w:val="Hyperlink"/>
          </w:rPr>
          <w:t xml:space="preserve">Zyla et al. 2019</w:t>
        </w:r>
      </w:hyperlink>
      <w:r>
        <w:t xml:space="preserve">)</w:t>
      </w:r>
      <w:r>
        <w:t xml:space="preserve">,</w:t>
      </w:r>
      <w:r>
        <w:t xml:space="preserve"> </w:t>
      </w:r>
      <w:r>
        <w:t xml:space="preserve">version</w:t>
      </w:r>
      <w:r>
        <w:t xml:space="preserve"> </w:t>
      </w:r>
      <w:r>
        <w:t xml:space="preserve">0.46.2.</w:t>
      </w:r>
      <w:r>
        <w:t xml:space="preserve"> </w:t>
      </w:r>
      <w:r>
        <w:t xml:space="preserve">GO terms have been sourced from the R package msigdbr, version</w:t>
      </w:r>
      <w:r>
        <w:t xml:space="preserve"> </w:t>
      </w:r>
      <w:r>
        <w:t xml:space="preserve">7.4.1.</w:t>
      </w:r>
    </w:p>
    <w:bookmarkEnd w:id="32"/>
    <w:bookmarkStart w:id="33" w:name="literature-survey"/>
    <w:p>
      <w:pPr>
        <w:pStyle w:val="Heading3"/>
      </w:pPr>
      <w:r>
        <w:t xml:space="preserve">Literature survey</w:t>
      </w:r>
    </w:p>
    <w:p>
      <w:pPr>
        <w:pStyle w:val="FirstParagraph"/>
      </w:pPr>
      <w:r>
        <w:t xml:space="preserve">An informal literature survey was performed using Google Scholar to</w:t>
      </w:r>
      <w:r>
        <w:t xml:space="preserve"> </w:t>
      </w:r>
      <w:r>
        <w:t xml:space="preserve">estimate the frequency of the incorrect use of Venn diagrams. We searched</w:t>
      </w:r>
      <w:r>
        <w:t xml:space="preserve"> </w:t>
      </w:r>
      <w:r>
        <w:t xml:space="preserve">for articles from 2020 mentioning the phrases</w:t>
      </w:r>
      <w:r>
        <w:t xml:space="preserve"> </w:t>
      </w:r>
      <w:r>
        <w:t xml:space="preserve">“</w:t>
      </w:r>
      <w:r>
        <w:t xml:space="preserve">differential expression</w:t>
      </w:r>
      <w:r>
        <w:t xml:space="preserve">”</w:t>
      </w:r>
      <w:r>
        <w:t xml:space="preserve"> </w:t>
      </w:r>
      <w:r>
        <w:t xml:space="preserve">and</w:t>
      </w:r>
      <w:r>
        <w:t xml:space="preserve"> </w:t>
      </w:r>
      <w:r>
        <w:t xml:space="preserve">“</w:t>
      </w:r>
      <w:r>
        <w:t xml:space="preserve">venn</w:t>
      </w:r>
      <w:r>
        <w:t xml:space="preserve"> </w:t>
      </w:r>
      <w:r>
        <w:t xml:space="preserve">diagram</w:t>
      </w:r>
      <w:r>
        <w:t xml:space="preserve">”</w:t>
      </w:r>
      <w:r>
        <w:t xml:space="preserve"> </w:t>
      </w:r>
      <w:r>
        <w:t xml:space="preserve">in the Scientific Reports journal. The journal was</w:t>
      </w:r>
      <w:r>
        <w:t xml:space="preserve"> </w:t>
      </w:r>
      <w:r>
        <w:t xml:space="preserve">selected because it represents a wide spectrum of research areas, the</w:t>
      </w:r>
      <w:r>
        <w:t xml:space="preserve"> </w:t>
      </w:r>
      <w:r>
        <w:t xml:space="preserve">articles are available through an open access license and there is a large</w:t>
      </w:r>
      <w:r>
        <w:t xml:space="preserve"> </w:t>
      </w:r>
      <w:r>
        <w:t xml:space="preserve">number of publications per year. For each of the papers identified, we</w:t>
      </w:r>
      <w:r>
        <w:t xml:space="preserve"> </w:t>
      </w:r>
      <w:r>
        <w:t xml:space="preserve">checked whether (i) the authors used the VD to show differentially expressed</w:t>
      </w:r>
      <w:r>
        <w:t xml:space="preserve"> </w:t>
      </w:r>
      <w:r>
        <w:t xml:space="preserve">transcripts significant in one comparison, but not another, (ii) the</w:t>
      </w:r>
      <w:r>
        <w:t xml:space="preserve"> </w:t>
      </w:r>
      <w:r>
        <w:t xml:space="preserve">authors discussed</w:t>
      </w:r>
      <w:r>
        <w:t xml:space="preserve"> </w:t>
      </w:r>
      <w:r>
        <w:t xml:space="preserve">“</w:t>
      </w:r>
      <w:r>
        <w:t xml:space="preserve">unique,</w:t>
      </w:r>
      <w:r>
        <w:t xml:space="preserve">”</w:t>
      </w:r>
      <w:r>
        <w:t xml:space="preserve"> </w:t>
      </w:r>
      <w:r>
        <w:t xml:space="preserve">“</w:t>
      </w:r>
      <w:r>
        <w:t xml:space="preserve">non-overlapping</w:t>
      </w:r>
      <w:r>
        <w:t xml:space="preserve">”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regions of the</w:t>
      </w:r>
      <w:r>
        <w:t xml:space="preserve"> </w:t>
      </w:r>
      <w:r>
        <w:t xml:space="preserve">Venn diagram and (iii) whether this was coupled to gene set enrichment</w:t>
      </w:r>
      <w:r>
        <w:t xml:space="preserve"> </w:t>
      </w:r>
      <w:r>
        <w:t xml:space="preserve">analysis is any form. Articles which (i) focused only on the intersections</w:t>
      </w:r>
      <w:r>
        <w:t xml:space="preserve"> </w:t>
      </w:r>
      <w:r>
        <w:t xml:space="preserve">of the Venn diagrams (genes common to all conditions), or (ii) which used the</w:t>
      </w:r>
      <w:r>
        <w:t xml:space="preserve"> </w:t>
      </w:r>
      <w:r>
        <w:t xml:space="preserve">Venn diagrams for a purpose other than to compare genes significant in one</w:t>
      </w:r>
      <w:r>
        <w:t xml:space="preserve"> </w:t>
      </w:r>
      <w:r>
        <w:t xml:space="preserve">condition, but not significant in another condition or (iii) for which a</w:t>
      </w:r>
      <w:r>
        <w:t xml:space="preserve"> </w:t>
      </w:r>
      <w:r>
        <w:t xml:space="preserve">clear-cut error could not be indicated past any reasonable doubt were not</w:t>
      </w:r>
      <w:r>
        <w:t xml:space="preserve"> </w:t>
      </w:r>
      <w:r>
        <w:t xml:space="preserve">considered incorrect.</w:t>
      </w:r>
    </w:p>
    <w:bookmarkEnd w:id="33"/>
    <w:bookmarkEnd w:id="34"/>
    <w:bookmarkStart w:id="44" w:name="bibliography"/>
    <w:p>
      <w:pPr>
        <w:pStyle w:val="Heading2"/>
      </w:pPr>
      <w:r>
        <w:t xml:space="preserve">Bibliography</w:t>
      </w:r>
    </w:p>
    <w:bookmarkStart w:id="43" w:name="refs"/>
    <w:bookmarkStart w:id="35" w:name="ref-benjamini1995controlling"/>
    <w:p>
      <w:pPr>
        <w:pStyle w:val="Bibliography"/>
      </w:pPr>
      <w:r>
        <w:t xml:space="preserve">Benjamini, Yoav, and Yosef Hochberg. 1995.</w:t>
      </w:r>
      <w:r>
        <w:t xml:space="preserve"> </w:t>
      </w:r>
      <w:r>
        <w:t xml:space="preserve">“Controlling the False Discovery Rate: A Practical and Powerful Approach to Multiple Testing.”</w:t>
      </w:r>
      <w:r>
        <w:t xml:space="preserve"> </w:t>
      </w:r>
      <w:r>
        <w:rPr>
          <w:iCs/>
          <w:i/>
        </w:rPr>
        <w:t xml:space="preserve">Journal of the Royal Statistical Society: Series B (Methodological)</w:t>
      </w:r>
      <w:r>
        <w:t xml:space="preserve"> </w:t>
      </w:r>
      <w:r>
        <w:t xml:space="preserve">57 (1): 289–300.</w:t>
      </w:r>
    </w:p>
    <w:bookmarkEnd w:id="35"/>
    <w:bookmarkStart w:id="36" w:name="ref-blalock1965theory"/>
    <w:p>
      <w:pPr>
        <w:pStyle w:val="Bibliography"/>
      </w:pPr>
      <w:r>
        <w:t xml:space="preserve">Blalock Jr, Hubert M. 1965.</w:t>
      </w:r>
      <w:r>
        <w:t xml:space="preserve"> </w:t>
      </w:r>
      <w:r>
        <w:t xml:space="preserve">“Theory Building and the Statistical Concept of Interaction.”</w:t>
      </w:r>
      <w:r>
        <w:t xml:space="preserve"> </w:t>
      </w:r>
      <w:r>
        <w:rPr>
          <w:iCs/>
          <w:i/>
        </w:rPr>
        <w:t xml:space="preserve">American Sociological Review</w:t>
      </w:r>
      <w:r>
        <w:t xml:space="preserve">, 374–80.</w:t>
      </w:r>
    </w:p>
    <w:bookmarkEnd w:id="36"/>
    <w:bookmarkStart w:id="37" w:name="ref-domaszewska2017concordant"/>
    <w:p>
      <w:pPr>
        <w:pStyle w:val="Bibliography"/>
      </w:pPr>
      <w:r>
        <w:t xml:space="preserve">Domaszewska, Teresa, Lisa Scheuermann, Karin Hahnke, Hans Mollenkopf, Anca Dorhoi, Stefan HE Kaufmann, and January Weiner. 2017.</w:t>
      </w:r>
      <w:r>
        <w:t xml:space="preserve"> </w:t>
      </w:r>
      <w:r>
        <w:t xml:space="preserve">“Concordant and Discordant Gene Expression Patterns in Mouse Strains Identify Best-Fit Animal Model for Human Tuberculosis.”</w:t>
      </w:r>
      <w:r>
        <w:t xml:space="preserve"> </w:t>
      </w:r>
      <w:r>
        <w:rPr>
          <w:iCs/>
          <w:i/>
        </w:rPr>
        <w:t xml:space="preserve">Scientific Reports</w:t>
      </w:r>
      <w:r>
        <w:t xml:space="preserve"> </w:t>
      </w:r>
      <w:r>
        <w:t xml:space="preserve">7 (1): 1–13.</w:t>
      </w:r>
    </w:p>
    <w:bookmarkEnd w:id="37"/>
    <w:bookmarkStart w:id="38" w:name="ref-gelman2006difference"/>
    <w:p>
      <w:pPr>
        <w:pStyle w:val="Bibliography"/>
      </w:pPr>
      <w:r>
        <w:t xml:space="preserve">Gelman, Andrew, and Hal Stern. 2006.</w:t>
      </w:r>
      <w:r>
        <w:t xml:space="preserve"> </w:t>
      </w:r>
      <w:r>
        <w:t xml:space="preserve">“The Difference Between</w:t>
      </w:r>
      <w:r>
        <w:t xml:space="preserve"> </w:t>
      </w:r>
      <w:r>
        <w:t xml:space="preserve">‘Significant’</w:t>
      </w:r>
      <w:r>
        <w:t xml:space="preserve"> </w:t>
      </w:r>
      <w:r>
        <w:t xml:space="preserve">and</w:t>
      </w:r>
      <w:r>
        <w:t xml:space="preserve"> </w:t>
      </w:r>
      <w:r>
        <w:t xml:space="preserve">‘Not Significant’</w:t>
      </w:r>
      <w:r>
        <w:t xml:space="preserve"> </w:t>
      </w:r>
      <w:r>
        <w:t xml:space="preserve">Is Not Itself Statistically Significant.”</w:t>
      </w:r>
      <w:r>
        <w:t xml:space="preserve"> </w:t>
      </w:r>
      <w:r>
        <w:rPr>
          <w:iCs/>
          <w:i/>
        </w:rPr>
        <w:t xml:space="preserve">The American Statistician</w:t>
      </w:r>
      <w:r>
        <w:t xml:space="preserve"> </w:t>
      </w:r>
      <w:r>
        <w:t xml:space="preserve">60 (4): 328–31.</w:t>
      </w:r>
    </w:p>
    <w:bookmarkEnd w:id="38"/>
    <w:bookmarkStart w:id="39" w:name="ref-mick2020upper"/>
    <w:p>
      <w:pPr>
        <w:pStyle w:val="Bibliography"/>
      </w:pPr>
      <w:r>
        <w:t xml:space="preserve">Mick, Eran, Jack Kamm, Angela Oliveira Pisco, Kalani Ratnasiri, Jennifer M Babik, Gloria Castañeda, Joseph L DeRisi, et al. 2020.</w:t>
      </w:r>
      <w:r>
        <w:t xml:space="preserve"> </w:t>
      </w:r>
      <w:r>
        <w:t xml:space="preserve">“Upper Airway Gene Expression Reveals Suppressed Immune Responses to SARS-CoV-2 Compared with Other Respiratory Viruses.”</w:t>
      </w:r>
      <w:r>
        <w:t xml:space="preserve"> </w:t>
      </w:r>
      <w:r>
        <w:rPr>
          <w:iCs/>
          <w:i/>
        </w:rPr>
        <w:t xml:space="preserve">Nature Communications</w:t>
      </w:r>
      <w:r>
        <w:t xml:space="preserve"> </w:t>
      </w:r>
      <w:r>
        <w:t xml:space="preserve">11 (1): 1–7.</w:t>
      </w:r>
    </w:p>
    <w:bookmarkEnd w:id="39"/>
    <w:bookmarkStart w:id="40" w:name="ref-nieuwenhuis2011erroneous"/>
    <w:p>
      <w:pPr>
        <w:pStyle w:val="Bibliography"/>
      </w:pPr>
      <w:r>
        <w:t xml:space="preserve">Nieuwenhuis, Sander, Birte U Forstmann, and Eric-Jan Wagenmakers. 2011.</w:t>
      </w:r>
      <w:r>
        <w:t xml:space="preserve"> </w:t>
      </w:r>
      <w:r>
        <w:t xml:space="preserve">“Erroneous Analyses of Interactions in Neuroscience: A Problem of Significance.”</w:t>
      </w:r>
      <w:r>
        <w:t xml:space="preserve"> </w:t>
      </w:r>
      <w:r>
        <w:rPr>
          <w:iCs/>
          <w:i/>
        </w:rPr>
        <w:t xml:space="preserve">Nature Neuroscience</w:t>
      </w:r>
      <w:r>
        <w:t xml:space="preserve"> </w:t>
      </w:r>
      <w:r>
        <w:t xml:space="preserve">14 (9): 1105.</w:t>
      </w:r>
    </w:p>
    <w:bookmarkEnd w:id="40"/>
    <w:bookmarkStart w:id="41" w:name="ref-white2019beyond"/>
    <w:p>
      <w:pPr>
        <w:pStyle w:val="Bibliography"/>
      </w:pPr>
      <w:r>
        <w:t xml:space="preserve">White, Tonya, Jan van der Ende, and Thomas E Nichols. 2019.</w:t>
      </w:r>
      <w:r>
        <w:t xml:space="preserve"> </w:t>
      </w:r>
      <w:r>
        <w:t xml:space="preserve">“Beyond Bonferroni Revisited: Concerns over Inflated False Positive Research Findings in the Fields of Conservation Genetics, Biology, and Medicine.”</w:t>
      </w:r>
      <w:r>
        <w:t xml:space="preserve"> </w:t>
      </w:r>
      <w:r>
        <w:rPr>
          <w:iCs/>
          <w:i/>
        </w:rPr>
        <w:t xml:space="preserve">Conservation Genetics</w:t>
      </w:r>
      <w:r>
        <w:t xml:space="preserve"> </w:t>
      </w:r>
      <w:r>
        <w:t xml:space="preserve">20 (4): 927–37.</w:t>
      </w:r>
    </w:p>
    <w:bookmarkEnd w:id="41"/>
    <w:bookmarkStart w:id="42" w:name="ref-zyla2019gene"/>
    <w:p>
      <w:pPr>
        <w:pStyle w:val="Bibliography"/>
      </w:pPr>
      <w:r>
        <w:t xml:space="preserve">Zyla, Joanna, Michal Marczyk, Teresa Domaszewska, Stefan HE Kaufmann, Joanna Polanska, and January Weiner 3rd. 2019.</w:t>
      </w:r>
      <w:r>
        <w:t xml:space="preserve"> </w:t>
      </w:r>
      <w:r>
        <w:t xml:space="preserve">“Gene Set Enrichment for Reproducible Science: Comparison of CERNO and Eight Other Algorithms.”</w:t>
      </w:r>
      <w:r>
        <w:t xml:space="preserve"> </w:t>
      </w:r>
      <w:r>
        <w:rPr>
          <w:iCs/>
          <w:i/>
        </w:rPr>
        <w:t xml:space="preserve">Bioinformatics</w:t>
      </w:r>
      <w:r>
        <w:t xml:space="preserve"> </w:t>
      </w:r>
      <w:r>
        <w:t xml:space="preserve">35 (24): 5146–54.</w:t>
      </w:r>
    </w:p>
    <w:bookmarkEnd w:id="42"/>
    <w:bookmarkEnd w:id="43"/>
    <w:bookmarkEnd w:id="44"/>
    <w:sectPr w:rsidR="00384F76" w:rsidSect="006F71B1">
      <w:footerReference w:type="default" r:id="rId9"/>
      <w:pgSz w:w="12240" w:h="15840"/>
      <w:pgMar w:top="1440" w:right="1440" w:bottom="1440" w:left="1440" w:header="720" w:footer="720" w:gutter="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0795126"/>
      <w:docPartObj>
        <w:docPartGallery w:val="Page Numbers (Bottom of Page)"/>
        <w:docPartUnique/>
      </w:docPartObj>
    </w:sdtPr>
    <w:sdtContent>
      <w:p w:rsidR="006F71B1" w:rsidRDefault="006F71B1">
        <w:pPr>
          <w:pStyle w:val="Footer"/>
          <w:jc w:val="right"/>
        </w:pPr>
        <w:fldSimple w:instr=" PAGE   \* MERGEFORMAT ">
          <w:r>
            <w:rPr>
              <w:noProof/>
            </w:rPr>
            <w:t>1</w:t>
          </w:r>
        </w:fldSimple>
      </w:p>
    </w:sdtContent>
  </w:sdt>
  <w:p w:rsidR="006F71B1" w:rsidRDefault="006F71B1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D1C65055"/>
    <w:multiLevelType w:val="multilevel"/>
    <w:tmpl w:val="254E948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1E808A6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64617BF3"/>
    <w:multiLevelType w:val="multilevel"/>
    <w:tmpl w:val="E4008820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"/>
  </w:num>
  <w:num w:numId="2">
    <w:abstractNumId w:val="0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footnote text" w:uiPriority="9" w:qFormat="1"/>
    <w:lsdException w:name="footer" w:uiPriority="99"/>
    <w:lsdException w:name="Title" w:qFormat="1"/>
    <w:lsdException w:name="Body Text" w:qFormat="1"/>
    <w:lsdException w:name="Subtitle" w:qFormat="1"/>
    <w:lsdException w:name="Date" w:qFormat="1"/>
    <w:lsdException w:name="Block Text" w:uiPriority="9" w:qFormat="1"/>
    <w:lsdException w:name="Bibliography" w:qFormat="1"/>
    <w:lsdException w:name="TOC Heading" w:uiPriority="39" w:qFormat="1"/>
  </w:latentStyles>
  <w:style w:type="paragraph" w:default="1" w:styleId="Normal">
    <w:name w:val="Normal"/>
    <w:qFormat/>
    <w:rsid w:val="0069188A"/>
  </w:style>
  <w:style w:type="paragraph" w:styleId="Heading1">
    <w:name w:val="heading 1"/>
    <w:basedOn w:val="Normal"/>
    <w:next w:val="BodyText"/>
    <w:uiPriority w:val="9"/>
    <w:qFormat/>
    <w:rsid w:val="0069188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69188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69188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59267C"/>
    <w:pPr>
      <w:keepNext/>
      <w:keepLines/>
      <w:pageBreakBefore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rsid w:val="0069188A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rsid w:val="0069188A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69188A"/>
    <w:pPr>
      <w:spacing w:before="180" w:after="180" w:line="360" w:lineRule="auto"/>
      <w:jc w:val="both"/>
    </w:pPr>
  </w:style>
  <w:style w:type="paragraph" w:customStyle="1" w:styleId="FirstParagraph">
    <w:name w:val="First Paragraph"/>
    <w:basedOn w:val="BodyText"/>
    <w:next w:val="BodyText"/>
    <w:qFormat/>
    <w:rsid w:val="0069188A"/>
  </w:style>
  <w:style w:type="paragraph" w:customStyle="1" w:styleId="Compact">
    <w:name w:val="Compact"/>
    <w:basedOn w:val="BodyText"/>
    <w:qFormat/>
    <w:rsid w:val="0069188A"/>
    <w:pPr>
      <w:spacing w:before="36" w:after="36"/>
    </w:pPr>
  </w:style>
  <w:style w:type="paragraph" w:styleId="Title">
    <w:name w:val="Title"/>
    <w:basedOn w:val="Normal"/>
    <w:next w:val="BodyText"/>
    <w:qFormat/>
    <w:rsid w:val="0069188A"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rsid w:val="0069188A"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69188A"/>
    <w:pPr>
      <w:keepNext/>
      <w:keepLines/>
      <w:jc w:val="center"/>
    </w:pPr>
  </w:style>
  <w:style w:type="paragraph" w:styleId="Date">
    <w:name w:val="Date"/>
    <w:next w:val="BodyText"/>
    <w:qFormat/>
    <w:rsid w:val="0069188A"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rsid w:val="0069188A"/>
    <w:pPr>
      <w:keepNext/>
      <w:keepLines/>
      <w:spacing w:before="300" w:after="300"/>
      <w:jc w:val="both"/>
    </w:pPr>
    <w:rPr>
      <w:sz w:val="20"/>
      <w:szCs w:val="20"/>
    </w:rPr>
  </w:style>
  <w:style w:type="paragraph" w:styleId="Bibliography">
    <w:name w:val="Bibliography"/>
    <w:basedOn w:val="Normal"/>
    <w:qFormat/>
    <w:rsid w:val="0069188A"/>
  </w:style>
  <w:style w:type="paragraph" w:styleId="BlockText">
    <w:name w:val="Block Text"/>
    <w:basedOn w:val="BodyText"/>
    <w:next w:val="BodyText"/>
    <w:uiPriority w:val="9"/>
    <w:unhideWhenUsed/>
    <w:qFormat/>
    <w:rsid w:val="0069188A"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69188A"/>
  </w:style>
  <w:style w:type="paragraph" w:customStyle="1" w:styleId="DefinitionTerm">
    <w:name w:val="Definition Term"/>
    <w:basedOn w:val="Normal"/>
    <w:next w:val="Definition"/>
    <w:rsid w:val="00384F76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  <w:rsid w:val="00384F76"/>
  </w:style>
  <w:style w:type="paragraph" w:styleId="Caption">
    <w:name w:val="caption"/>
    <w:basedOn w:val="Normal"/>
    <w:link w:val="BodyTextChar"/>
    <w:rsid w:val="00384F76"/>
    <w:pPr>
      <w:spacing w:after="120"/>
    </w:pPr>
    <w:rPr>
      <w:i/>
    </w:rPr>
  </w:style>
  <w:style w:type="paragraph" w:customStyle="1" w:styleId="TableCaption">
    <w:name w:val="Table Caption"/>
    <w:basedOn w:val="Caption"/>
    <w:rsid w:val="00384F76"/>
    <w:pPr>
      <w:keepNext/>
    </w:pPr>
  </w:style>
  <w:style w:type="paragraph" w:customStyle="1" w:styleId="ImageCaption">
    <w:name w:val="Image Caption"/>
    <w:basedOn w:val="Caption"/>
    <w:rsid w:val="00384F76"/>
  </w:style>
  <w:style w:type="paragraph" w:customStyle="1" w:styleId="Figure">
    <w:name w:val="Figure"/>
    <w:basedOn w:val="Normal"/>
    <w:rsid w:val="00384F76"/>
  </w:style>
  <w:style w:type="paragraph" w:customStyle="1" w:styleId="FigurewithCaption">
    <w:name w:val="Figure with Caption"/>
    <w:basedOn w:val="Figure"/>
    <w:rsid w:val="00384F76"/>
    <w:pPr>
      <w:keepNext/>
    </w:pPr>
  </w:style>
  <w:style w:type="character" w:customStyle="1" w:styleId="BodyTextChar">
    <w:name w:val="Body Text Char"/>
    <w:basedOn w:val="DefaultParagraphFont"/>
    <w:link w:val="Caption"/>
    <w:rsid w:val="0069188A"/>
  </w:style>
  <w:style w:type="character" w:customStyle="1" w:styleId="VerbatimChar">
    <w:name w:val="Verbatim Char"/>
    <w:basedOn w:val="BodyTextChar"/>
    <w:link w:val="SourceCode"/>
    <w:rsid w:val="00384F76"/>
    <w:rPr>
      <w:rFonts w:ascii="Consolas" w:hAnsi="Consolas"/>
      <w:sz w:val="22"/>
    </w:rPr>
  </w:style>
  <w:style w:type="character" w:styleId="FootnoteReference">
    <w:name w:val="footnote reference"/>
    <w:basedOn w:val="BodyTextChar"/>
    <w:rsid w:val="00384F76"/>
    <w:rPr>
      <w:vertAlign w:val="superscript"/>
    </w:rPr>
  </w:style>
  <w:style w:type="character" w:styleId="Hyperlink">
    <w:name w:val="Hyperlink"/>
    <w:basedOn w:val="BodyTextChar"/>
    <w:rsid w:val="00384F76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rsid w:val="0069188A"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rsid w:val="00384F76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sid w:val="00384F76"/>
    <w:rPr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384F76"/>
    <w:rPr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384F76"/>
    <w:rPr>
      <w:color w:val="0000CF"/>
      <w:shd w:val="clear" w:color="auto" w:fill="F8F8F8"/>
    </w:rPr>
  </w:style>
  <w:style w:type="character" w:customStyle="1" w:styleId="BaseNTok">
    <w:name w:val="BaseNTok"/>
    <w:basedOn w:val="VerbatimChar"/>
    <w:rsid w:val="00384F76"/>
    <w:rPr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384F76"/>
    <w:rPr>
      <w:color w:val="0000CF"/>
      <w:shd w:val="clear" w:color="auto" w:fill="F8F8F8"/>
    </w:rPr>
  </w:style>
  <w:style w:type="character" w:customStyle="1" w:styleId="ConstantTok">
    <w:name w:val="ConstantTok"/>
    <w:basedOn w:val="VerbatimChar"/>
    <w:rsid w:val="00384F76"/>
    <w:rPr>
      <w:color w:val="000000"/>
      <w:shd w:val="clear" w:color="auto" w:fill="F8F8F8"/>
    </w:rPr>
  </w:style>
  <w:style w:type="character" w:customStyle="1" w:styleId="CharTok">
    <w:name w:val="CharTok"/>
    <w:basedOn w:val="VerbatimChar"/>
    <w:rsid w:val="00384F76"/>
    <w:rPr>
      <w:color w:val="4E9A06"/>
      <w:shd w:val="clear" w:color="auto" w:fill="F8F8F8"/>
    </w:rPr>
  </w:style>
  <w:style w:type="character" w:customStyle="1" w:styleId="SpecialCharTok">
    <w:name w:val="SpecialCharTok"/>
    <w:basedOn w:val="VerbatimChar"/>
    <w:rsid w:val="00384F76"/>
    <w:rPr>
      <w:color w:val="000000"/>
      <w:shd w:val="clear" w:color="auto" w:fill="F8F8F8"/>
    </w:rPr>
  </w:style>
  <w:style w:type="character" w:customStyle="1" w:styleId="StringTok">
    <w:name w:val="StringTok"/>
    <w:basedOn w:val="VerbatimChar"/>
    <w:rsid w:val="00384F76"/>
    <w:rPr>
      <w:color w:val="4E9A06"/>
      <w:shd w:val="clear" w:color="auto" w:fill="F8F8F8"/>
    </w:rPr>
  </w:style>
  <w:style w:type="character" w:customStyle="1" w:styleId="VerbatimStringTok">
    <w:name w:val="VerbatimStringTok"/>
    <w:basedOn w:val="VerbatimChar"/>
    <w:rsid w:val="00384F76"/>
    <w:rPr>
      <w:color w:val="4E9A06"/>
      <w:shd w:val="clear" w:color="auto" w:fill="F8F8F8"/>
    </w:rPr>
  </w:style>
  <w:style w:type="character" w:customStyle="1" w:styleId="SpecialStringTok">
    <w:name w:val="SpecialStringTok"/>
    <w:basedOn w:val="VerbatimChar"/>
    <w:rsid w:val="00384F76"/>
    <w:rPr>
      <w:color w:val="4E9A06"/>
      <w:shd w:val="clear" w:color="auto" w:fill="F8F8F8"/>
    </w:rPr>
  </w:style>
  <w:style w:type="character" w:customStyle="1" w:styleId="ImportTok">
    <w:name w:val="ImportTok"/>
    <w:basedOn w:val="VerbatimChar"/>
    <w:rsid w:val="00384F76"/>
    <w:rPr>
      <w:shd w:val="clear" w:color="auto" w:fill="F8F8F8"/>
    </w:rPr>
  </w:style>
  <w:style w:type="character" w:customStyle="1" w:styleId="CommentTok">
    <w:name w:val="CommentTok"/>
    <w:basedOn w:val="VerbatimChar"/>
    <w:rsid w:val="00384F76"/>
    <w:rPr>
      <w:i/>
      <w:color w:val="8F5902"/>
      <w:shd w:val="clear" w:color="auto" w:fill="F8F8F8"/>
    </w:rPr>
  </w:style>
  <w:style w:type="character" w:customStyle="1" w:styleId="DocumentationTok">
    <w:name w:val="DocumentationTok"/>
    <w:basedOn w:val="VerbatimChar"/>
    <w:rsid w:val="00384F76"/>
    <w:rPr>
      <w:b/>
      <w:i/>
      <w:color w:val="8F5902"/>
      <w:shd w:val="clear" w:color="auto" w:fill="F8F8F8"/>
    </w:rPr>
  </w:style>
  <w:style w:type="character" w:customStyle="1" w:styleId="AnnotationTok">
    <w:name w:val="AnnotationTok"/>
    <w:basedOn w:val="VerbatimChar"/>
    <w:rsid w:val="00384F76"/>
    <w:rPr>
      <w:b/>
      <w:i/>
      <w:color w:val="8F5902"/>
      <w:shd w:val="clear" w:color="auto" w:fill="F8F8F8"/>
    </w:rPr>
  </w:style>
  <w:style w:type="character" w:customStyle="1" w:styleId="CommentVarTok">
    <w:name w:val="CommentVarTok"/>
    <w:basedOn w:val="VerbatimChar"/>
    <w:rsid w:val="00384F76"/>
    <w:rPr>
      <w:b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384F76"/>
    <w:rPr>
      <w:color w:val="8F5902"/>
      <w:shd w:val="clear" w:color="auto" w:fill="F8F8F8"/>
    </w:rPr>
  </w:style>
  <w:style w:type="character" w:customStyle="1" w:styleId="FunctionTok">
    <w:name w:val="FunctionTok"/>
    <w:basedOn w:val="VerbatimChar"/>
    <w:rsid w:val="00384F76"/>
    <w:rPr>
      <w:color w:val="000000"/>
      <w:shd w:val="clear" w:color="auto" w:fill="F8F8F8"/>
    </w:rPr>
  </w:style>
  <w:style w:type="character" w:customStyle="1" w:styleId="VariableTok">
    <w:name w:val="VariableTok"/>
    <w:basedOn w:val="VerbatimChar"/>
    <w:rsid w:val="00384F76"/>
    <w:rPr>
      <w:color w:val="000000"/>
      <w:shd w:val="clear" w:color="auto" w:fill="F8F8F8"/>
    </w:rPr>
  </w:style>
  <w:style w:type="character" w:customStyle="1" w:styleId="ControlFlowTok">
    <w:name w:val="ControlFlowTok"/>
    <w:basedOn w:val="VerbatimChar"/>
    <w:rsid w:val="00384F76"/>
    <w:rPr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384F76"/>
    <w:rPr>
      <w:b/>
      <w:color w:val="CE5C00"/>
      <w:shd w:val="clear" w:color="auto" w:fill="F8F8F8"/>
    </w:rPr>
  </w:style>
  <w:style w:type="character" w:customStyle="1" w:styleId="BuiltInTok">
    <w:name w:val="BuiltInTok"/>
    <w:basedOn w:val="VerbatimChar"/>
    <w:rsid w:val="00384F76"/>
    <w:rPr>
      <w:shd w:val="clear" w:color="auto" w:fill="F8F8F8"/>
    </w:rPr>
  </w:style>
  <w:style w:type="character" w:customStyle="1" w:styleId="ExtensionTok">
    <w:name w:val="ExtensionTok"/>
    <w:basedOn w:val="VerbatimChar"/>
    <w:rsid w:val="00384F76"/>
    <w:rPr>
      <w:shd w:val="clear" w:color="auto" w:fill="F8F8F8"/>
    </w:rPr>
  </w:style>
  <w:style w:type="character" w:customStyle="1" w:styleId="PreprocessorTok">
    <w:name w:val="PreprocessorTok"/>
    <w:basedOn w:val="VerbatimChar"/>
    <w:rsid w:val="00384F76"/>
    <w:rPr>
      <w:i/>
      <w:color w:val="8F5902"/>
      <w:shd w:val="clear" w:color="auto" w:fill="F8F8F8"/>
    </w:rPr>
  </w:style>
  <w:style w:type="character" w:customStyle="1" w:styleId="AttributeTok">
    <w:name w:val="AttributeTok"/>
    <w:basedOn w:val="VerbatimChar"/>
    <w:rsid w:val="00384F76"/>
    <w:rPr>
      <w:color w:val="C4A000"/>
      <w:shd w:val="clear" w:color="auto" w:fill="F8F8F8"/>
    </w:rPr>
  </w:style>
  <w:style w:type="character" w:customStyle="1" w:styleId="RegionMarkerTok">
    <w:name w:val="RegionMarkerTok"/>
    <w:basedOn w:val="VerbatimChar"/>
    <w:rsid w:val="00384F76"/>
    <w:rPr>
      <w:shd w:val="clear" w:color="auto" w:fill="F8F8F8"/>
    </w:rPr>
  </w:style>
  <w:style w:type="character" w:customStyle="1" w:styleId="InformationTok">
    <w:name w:val="InformationTok"/>
    <w:basedOn w:val="VerbatimChar"/>
    <w:rsid w:val="00384F76"/>
    <w:rPr>
      <w:b/>
      <w:i/>
      <w:color w:val="8F5902"/>
      <w:shd w:val="clear" w:color="auto" w:fill="F8F8F8"/>
    </w:rPr>
  </w:style>
  <w:style w:type="character" w:customStyle="1" w:styleId="WarningTok">
    <w:name w:val="WarningTok"/>
    <w:basedOn w:val="VerbatimChar"/>
    <w:rsid w:val="00384F76"/>
    <w:rPr>
      <w:b/>
      <w:i/>
      <w:color w:val="8F5902"/>
      <w:shd w:val="clear" w:color="auto" w:fill="F8F8F8"/>
    </w:rPr>
  </w:style>
  <w:style w:type="character" w:customStyle="1" w:styleId="AlertTok">
    <w:name w:val="AlertTok"/>
    <w:basedOn w:val="VerbatimChar"/>
    <w:rsid w:val="00384F76"/>
    <w:rPr>
      <w:color w:val="EF2929"/>
      <w:shd w:val="clear" w:color="auto" w:fill="F8F8F8"/>
    </w:rPr>
  </w:style>
  <w:style w:type="character" w:customStyle="1" w:styleId="ErrorTok">
    <w:name w:val="ErrorTok"/>
    <w:basedOn w:val="VerbatimChar"/>
    <w:rsid w:val="00384F76"/>
    <w:rPr>
      <w:b/>
      <w:color w:val="A40000"/>
      <w:shd w:val="clear" w:color="auto" w:fill="F8F8F8"/>
    </w:rPr>
  </w:style>
  <w:style w:type="character" w:customStyle="1" w:styleId="NormalTok">
    <w:name w:val="NormalTok"/>
    <w:basedOn w:val="VerbatimChar"/>
    <w:rsid w:val="00384F76"/>
    <w:rPr>
      <w:shd w:val="clear" w:color="auto" w:fill="F8F8F8"/>
    </w:rPr>
  </w:style>
  <w:style w:type="character" w:styleId="LineNumber">
    <w:name w:val="line number"/>
    <w:basedOn w:val="DefaultParagraphFont"/>
    <w:rsid w:val="006F71B1"/>
  </w:style>
  <w:style w:type="paragraph" w:styleId="Header">
    <w:name w:val="header"/>
    <w:basedOn w:val="Normal"/>
    <w:link w:val="HeaderChar"/>
    <w:rsid w:val="006F71B1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rsid w:val="006F71B1"/>
  </w:style>
  <w:style w:type="paragraph" w:styleId="Footer">
    <w:name w:val="footer"/>
    <w:basedOn w:val="Normal"/>
    <w:link w:val="FooterChar"/>
    <w:uiPriority w:val="99"/>
    <w:rsid w:val="006F71B1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F71B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ype="http://schemas.openxmlformats.org/officeDocument/2006/relationships/footer" Target="footer1.xml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hyperlink" Id="rId29" Target="https://github.com/bihealth/manuscript_venn_diagram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9" Target="https://github.com/bihealth/manuscript_venn_diagram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46</Pages>
  <Words>4857</Words>
  <Characters>27690</Characters>
  <Application>Microsoft Office Word</Application>
  <DocSecurity>0</DocSecurity>
  <Lines>230</Lines>
  <Paragraphs>64</Paragraphs>
  <ScaleCrop>false</ScaleCrop>
  <Company>MPIIB</Company>
  <LinksUpToDate>false</LinksUpToDate>
  <CharactersWithSpaces>32483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Erroneous use of Venn diagrams leads to artifacts in transcriptomic analyses</dc:title>
  <dc:creator>January Weiner1,†, Benedikt Obermayer1 and Dieter Beule1</dc:creator>
  <cp:keywords/>
  <dcterms:created xsi:type="dcterms:W3CDTF">2021-11-19T18:08:17Z</dcterms:created>
  <dcterms:modified xsi:type="dcterms:W3CDTF">2021-11-19T18:08:17Z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Xcsl">
    <vt:lpwstr>templates/nature-medicine.csl</vt:lpwstr>
  </property>
  <property fmtid="{D5CDD505-2E9C-101B-9397-08002B2CF9AE}" pid="3" name="bibliography">
    <vt:lpwstr>manuscript.bib</vt:lpwstr>
  </property>
  <property fmtid="{D5CDD505-2E9C-101B-9397-08002B2CF9AE}" pid="4" name="date">
    <vt:lpwstr>2021-11-19</vt:lpwstr>
  </property>
  <property fmtid="{D5CDD505-2E9C-101B-9397-08002B2CF9AE}" pid="5" name="link-citations">
    <vt:lpwstr>True</vt:lpwstr>
  </property>
  <property fmtid="{D5CDD505-2E9C-101B-9397-08002B2CF9AE}" pid="6" name="output">
    <vt:lpwstr/>
  </property>
  <property fmtid="{D5CDD505-2E9C-101B-9397-08002B2CF9AE}" pid="7" name="outputoff">
    <vt:lpwstr>html_document</vt:lpwstr>
  </property>
  <property fmtid="{D5CDD505-2E9C-101B-9397-08002B2CF9AE}" pid="8" name="outputoff2">
    <vt:lpwstr/>
  </property>
</Properties>
</file>